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四川省交通物资有限责任公司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4"/>
              </w:rPr>
              <w:t>市场调研→签订协议→组织采购用户产品与验收→发货与交付→售后服务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1）固体废弃物排放；2）潜在火灾。通过管理方案和预案控制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1）触电；2）火灾。通过管理方案和预案控制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中华人民共和国安全消防法、中华人民共和国劳动合同法、中华人民共和国安全生产法等。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107315</wp:posOffset>
            </wp:positionV>
            <wp:extent cx="396240" cy="407035"/>
            <wp:effectExtent l="0" t="0" r="0" b="4445"/>
            <wp:wrapNone/>
            <wp:docPr id="1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95885</wp:posOffset>
            </wp:positionV>
            <wp:extent cx="396240" cy="407035"/>
            <wp:effectExtent l="0" t="0" r="0" b="4445"/>
            <wp:wrapNone/>
            <wp:docPr id="2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2021.1.25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11C366F"/>
    <w:rsid w:val="5D5E6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2021-01-29T01:42:31Z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