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滁州滁能热电有限公司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0726-2020-QEO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余学好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0550-6821509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1529017349@qq.com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Q：供电服务(限许可范围内）</w:t>
            </w:r>
          </w:p>
          <w:p>
            <w:r>
              <w:t>E：供电服务(限许可范围内）所涉及场所相关的环境管理活动</w:t>
            </w:r>
          </w:p>
          <w:p>
            <w:r>
              <w:t>O：供电服务(限许可范围内）所涉及场所相关的职业健康安全管理活动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Q：25.01.01</w:t>
            </w:r>
          </w:p>
          <w:p>
            <w:r>
              <w:t>E：25.01.01</w:t>
            </w:r>
          </w:p>
          <w:p>
            <w:r>
              <w:t>O：25.01.01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2021年01月28日 上午至2021年01月29日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Q:25.01.01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E:25.01.01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O:25.01.01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0" w:type="auto"/>
        <w:tblInd w:w="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11"/>
        <w:gridCol w:w="4449"/>
        <w:gridCol w:w="1468"/>
        <w:gridCol w:w="9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413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时间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相关过程</w:t>
            </w:r>
          </w:p>
        </w:tc>
        <w:tc>
          <w:tcPr>
            <w:tcW w:w="4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涉及活动</w:t>
            </w:r>
            <w:r>
              <w:rPr>
                <w:rFonts w:hint="eastAsia"/>
                <w:szCs w:val="21"/>
              </w:rPr>
              <w:t>及条款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涉及部门</w:t>
            </w:r>
          </w:p>
        </w:tc>
        <w:tc>
          <w:tcPr>
            <w:tcW w:w="903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审核员代号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default" w:ascii="Cambria" w:hAnsi="Cambria" w:eastAsia="宋体" w:cs="Calibri"/>
                <w:bCs/>
                <w:szCs w:val="21"/>
                <w:lang w:val="en-US" w:eastAsia="zh-CN"/>
              </w:rPr>
            </w:pPr>
            <w:r>
              <w:rPr>
                <w:rFonts w:ascii="Cambria" w:hAnsi="Cambria" w:cs="Calibri"/>
                <w:bCs/>
                <w:szCs w:val="21"/>
              </w:rPr>
              <w:t>20</w:t>
            </w:r>
            <w:r>
              <w:rPr>
                <w:rFonts w:hint="eastAsia" w:ascii="Cambria" w:hAnsi="Cambria" w:cs="Calibri"/>
                <w:bCs/>
                <w:szCs w:val="21"/>
                <w:lang w:val="en-US" w:eastAsia="zh-CN"/>
              </w:rPr>
              <w:t>21</w:t>
            </w:r>
            <w:r>
              <w:rPr>
                <w:rFonts w:ascii="Cambria" w:hAnsi="Cambria" w:cs="Calibri"/>
                <w:bCs/>
                <w:szCs w:val="21"/>
              </w:rPr>
              <w:t>.</w:t>
            </w:r>
            <w:r>
              <w:rPr>
                <w:rFonts w:hint="eastAsia" w:ascii="Cambria" w:hAnsi="Cambria" w:cs="Calibri"/>
                <w:bCs/>
                <w:szCs w:val="21"/>
              </w:rPr>
              <w:t>1</w:t>
            </w:r>
            <w:r>
              <w:rPr>
                <w:rFonts w:ascii="Cambria" w:hAnsi="Cambria" w:cs="Calibri"/>
                <w:bCs/>
                <w:szCs w:val="21"/>
              </w:rPr>
              <w:t>.</w:t>
            </w:r>
            <w:r>
              <w:rPr>
                <w:rFonts w:hint="eastAsia" w:ascii="Cambria" w:hAnsi="Cambria" w:cs="Calibri"/>
                <w:bCs/>
                <w:szCs w:val="21"/>
                <w:lang w:val="en-US" w:eastAsia="zh-CN"/>
              </w:rPr>
              <w:t>28</w:t>
            </w:r>
          </w:p>
          <w:p>
            <w:pPr>
              <w:jc w:val="left"/>
              <w:rPr>
                <w:rFonts w:ascii="Cambria" w:hAnsi="Cambria" w:cs="Calibri"/>
                <w:bCs/>
                <w:szCs w:val="21"/>
              </w:rPr>
            </w:pPr>
            <w:r>
              <w:rPr>
                <w:rFonts w:hint="eastAsia" w:ascii="Cambria" w:hAnsi="Cambria" w:cs="Calibri"/>
                <w:bCs/>
                <w:szCs w:val="21"/>
              </w:rPr>
              <w:t>8</w:t>
            </w:r>
            <w:r>
              <w:rPr>
                <w:rFonts w:ascii="Cambria" w:hAnsi="Cambria" w:cs="Calibri"/>
                <w:bCs/>
                <w:szCs w:val="21"/>
              </w:rPr>
              <w:t>:</w:t>
            </w:r>
            <w:r>
              <w:rPr>
                <w:rFonts w:hint="eastAsia" w:ascii="Cambria" w:hAnsi="Cambria" w:cs="Calibri"/>
                <w:bCs/>
                <w:szCs w:val="21"/>
              </w:rPr>
              <w:t>0</w:t>
            </w:r>
            <w:r>
              <w:rPr>
                <w:rFonts w:ascii="Cambria" w:hAnsi="Cambria" w:cs="Calibri"/>
                <w:bCs/>
                <w:szCs w:val="21"/>
              </w:rPr>
              <w:t>0-</w:t>
            </w:r>
            <w:r>
              <w:rPr>
                <w:rFonts w:hint="eastAsia" w:ascii="Cambria" w:hAnsi="Cambria" w:cs="Calibri"/>
                <w:bCs/>
                <w:szCs w:val="21"/>
              </w:rPr>
              <w:t>8</w:t>
            </w:r>
            <w:r>
              <w:rPr>
                <w:rFonts w:ascii="Cambria" w:hAnsi="Cambria" w:cs="Calibri"/>
                <w:bCs/>
                <w:szCs w:val="21"/>
              </w:rPr>
              <w:t>:</w:t>
            </w:r>
            <w:r>
              <w:rPr>
                <w:rFonts w:hint="eastAsia" w:ascii="Cambria" w:hAnsi="Cambria" w:cs="Calibri"/>
                <w:bCs/>
                <w:szCs w:val="21"/>
              </w:rPr>
              <w:t>3</w:t>
            </w:r>
            <w:r>
              <w:rPr>
                <w:rFonts w:ascii="Cambria" w:hAnsi="Cambria" w:cs="Calibri"/>
                <w:bCs/>
                <w:szCs w:val="21"/>
              </w:rPr>
              <w:t>0</w:t>
            </w:r>
          </w:p>
        </w:tc>
        <w:tc>
          <w:tcPr>
            <w:tcW w:w="151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40" w:firstLine="600" w:firstLineChars="25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首次会议</w:t>
            </w:r>
          </w:p>
        </w:tc>
        <w:tc>
          <w:tcPr>
            <w:tcW w:w="146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领导层及各部门负责人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A 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8:30-12:00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企业基本情况、体系的建立实施情况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1、组织的基本情况、包括组织结构，作用、职责和权限的规定，资源配置，作息时间等；确认组织体系覆盖的实际人数，现场核对收集企业资质和许可；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2、组织及其环境的确定及风险和机遇的识别及控制措施的确定；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3、审查组织文件化的管理体系信息（包括结构、层次、数量、类别、载体）及记录；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4、体系的策划过程，包括方针、目标的适宜性及实施情况；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5、内审和管理评审的策划实施情况；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6、持证上岗人员的管理情况；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7、现场巡查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8、确认是否为二阶段审核做好了准备；</w:t>
            </w:r>
          </w:p>
        </w:tc>
        <w:tc>
          <w:tcPr>
            <w:tcW w:w="14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领导层、办公室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14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发电过程</w:t>
            </w:r>
            <w:r>
              <w:rPr>
                <w:rFonts w:hint="eastAsia"/>
                <w:sz w:val="21"/>
                <w:szCs w:val="21"/>
              </w:rPr>
              <w:t>和检验规程</w:t>
            </w:r>
          </w:p>
        </w:tc>
        <w:tc>
          <w:tcPr>
            <w:tcW w:w="44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1、了解组织实际业务活动情况；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2、组织及其环境的确定及风险和机遇的识别及控制措施的确定；是否识别了相关方的需求和期望；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3、过程策划实施情况，确认特殊过程和关键过程识别的充分性、合理性；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4、了解作业文件、记录的策划情况；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5、确认是否有外包过程、分场所及其人员情况等；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6、监视和测量装置的配置及定期检定情况；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7、对适用的标准及法律法规要求的识别收集情况；是否进行了合规性评价；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8、环境因素、危险源的识别、评价及控制措施；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9、生产现场巡视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10、确认组织管理体系认证范围、过程和场所的相关信息；</w:t>
            </w:r>
          </w:p>
        </w:tc>
        <w:tc>
          <w:tcPr>
            <w:tcW w:w="14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生产部（含车间、质检及运输车队）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>A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974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560" w:firstLineChars="1900"/>
              <w:jc w:val="left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2021.1.29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742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继续审核  补充审核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42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内部沟通</w:t>
            </w:r>
          </w:p>
        </w:tc>
        <w:tc>
          <w:tcPr>
            <w:tcW w:w="9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4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4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与领导层沟通</w:t>
            </w:r>
          </w:p>
        </w:tc>
        <w:tc>
          <w:tcPr>
            <w:tcW w:w="9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4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74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9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801534"/>
    <w:rsid w:val="326A6968"/>
    <w:rsid w:val="34CD3AA5"/>
    <w:rsid w:val="4F5B5AF5"/>
    <w:rsid w:val="6F403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2021-03-17T14:46:50Z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