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lang w:val="en-US" w:eastAsia="zh-CN"/>
              </w:rPr>
              <w:t>杭震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张磊、周文廷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2021-07-29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.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 xml:space="preserve"> 6.1.2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6.2/7.2/7.4/7.5/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8.1.2/8.1.3/8.2/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办公室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机械伤害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完善安全操作规程，并对员工进行培训、教育；加强检查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办公室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交通意外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>加强交通安全培训教育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办公室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火灾发生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bCs/>
                      <w:sz w:val="18"/>
                      <w:szCs w:val="18"/>
                    </w:rPr>
                    <w:t>安全事故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杭震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办公室、供销部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专业：安全技术工商管理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26年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刘付孝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生产部经理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5年以上本行业或相近行业工作经验，2年以上基层管理经验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专业：应用化工技术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10年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single"/>
                    </w:rPr>
                  </w:pPr>
                  <w:r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single"/>
                    </w:rPr>
                    <w:t>王银春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/>
                      <w:snapToGrid w:val="0"/>
                      <w:color w:val="auto"/>
                      <w:kern w:val="0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single"/>
                      <w:lang w:val="en-US" w:eastAsia="zh-CN"/>
                    </w:rPr>
                    <w:t>员工代表</w:t>
                  </w:r>
                </w:p>
              </w:tc>
              <w:tc>
                <w:tcPr>
                  <w:tcW w:w="22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学历：高中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auto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——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相关生产技术培训，基本生产运作培训，机器操作，安全生产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0.5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6年</w:t>
                  </w:r>
                </w:p>
              </w:tc>
              <w:tc>
                <w:tcPr>
                  <w:tcW w:w="235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0 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操作人员0 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3423"/>
              <w:gridCol w:w="1288"/>
              <w:gridCol w:w="1032"/>
              <w:gridCol w:w="17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34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28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032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2021年 01月 15日</w:t>
                  </w:r>
                </w:p>
              </w:tc>
              <w:tc>
                <w:tcPr>
                  <w:tcW w:w="34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GB/T19001-2016、GB/T24001-2016、ISO45001:2018体系标准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2021.04.08</w:t>
                  </w:r>
                </w:p>
              </w:tc>
              <w:tc>
                <w:tcPr>
                  <w:tcW w:w="3423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刘付效、王建成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8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宋体"/>
                      <w:spacing w:val="-1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58"/>
                      <w:sz w:val="22"/>
                      <w:szCs w:val="24"/>
                    </w:rPr>
                    <w:t xml:space="preserve"> </w:t>
                  </w:r>
                  <w:r>
                    <w:rPr>
                      <w:rFonts w:hint="eastAsia" w:ascii="宋体"/>
                      <w:sz w:val="22"/>
                      <w:szCs w:val="24"/>
                    </w:rPr>
                    <w:t>年</w:t>
                  </w:r>
                  <w:r>
                    <w:rPr>
                      <w:rFonts w:hint="default" w:ascii="宋体"/>
                      <w:sz w:val="22"/>
                      <w:szCs w:val="24"/>
                    </w:rPr>
                    <w:t>0</w:t>
                  </w:r>
                  <w:r>
                    <w:rPr>
                      <w:rFonts w:hint="eastAsia" w:ascii="宋体"/>
                      <w:sz w:val="22"/>
                      <w:szCs w:val="24"/>
                    </w:rPr>
                    <w:t>3月10日</w:t>
                  </w:r>
                </w:p>
              </w:tc>
              <w:tc>
                <w:tcPr>
                  <w:tcW w:w="342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重大危险源、重要环境因素控制、管理方案学习</w:t>
                  </w:r>
                </w:p>
              </w:tc>
              <w:tc>
                <w:tcPr>
                  <w:tcW w:w="128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032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74"/>
              <w:gridCol w:w="2284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特种作业人员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28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焊工</w:t>
                  </w:r>
                </w:p>
              </w:tc>
              <w:tc>
                <w:tcPr>
                  <w:tcW w:w="127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高压电工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李佐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T34110319910618443X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2025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低压电工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27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入职新员工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刘付效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王银春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老员工调岗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原岗位             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新岗位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</w:t>
                  </w:r>
                </w:p>
              </w:tc>
              <w:tc>
                <w:tcPr>
                  <w:tcW w:w="205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班组级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抽查《职业危害告知书》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入职新员工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岗位的危险源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岗位的职业危害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color w:val="0945A5"/>
                      <w:highlight w:val="none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color w:val="0945A5"/>
                      <w:highlight w:val="none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color w:val="0945A5"/>
                      <w:highlight w:val="none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2021.7.29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设备送检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安徽中家智瑞科技有限公司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面谈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设备已送检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sz w:val="24"/>
                    </w:rPr>
                    <w:t>21.1.13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安全问题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员工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每周办公例会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2021.03.10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重大危险源、重要环境因素控制、管理方案学习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程序文件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办公室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使用方法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641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vertAlign w:val="baseline"/>
                      <w:lang w:val="en-US" w:eastAsia="zh-CN"/>
                    </w:rPr>
                    <w:t>GB 18218-2018危险化学品重大危险源辨识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钱国英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劳动防护用品管理规定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钱国英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职业健康安全管理体系  要求</w:t>
                  </w:r>
                </w:p>
              </w:tc>
              <w:tc>
                <w:tcPr>
                  <w:tcW w:w="174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标准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通知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钱国英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各部门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7"/>
              <w:tblW w:w="88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3"/>
              <w:gridCol w:w="2155"/>
              <w:gridCol w:w="1256"/>
              <w:gridCol w:w="1355"/>
              <w:gridCol w:w="17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2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7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培训记录表</w:t>
                  </w:r>
                </w:p>
              </w:tc>
              <w:tc>
                <w:tcPr>
                  <w:tcW w:w="215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25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基础设施一览表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2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0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设备维护保养记录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25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8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2021-1-2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环境和职业健康安全运行控制管理程序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395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建立过程准则；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有《运行控制记录》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有《运行控制记录》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与外包方签订安全管理协议书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☑</w:t>
                  </w:r>
                  <w:r>
                    <w:rPr>
                      <w:rFonts w:hint="eastAsia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查健康体检报告：王银春，体检编号：112107230115，体检机构：滁州协成医院，体检时间：2021.7.23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张思荣，体检编号：112107230064，体检机构：滁州协成医院，体检时间：2021.7.23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刘付效，体检编号：112107230114，体检机构：滁州协成医院，体检时间：2021.7.23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杭震，体检编号：112107230100</w:t>
            </w:r>
            <w:bookmarkStart w:id="1" w:name="_GoBack"/>
            <w:bookmarkEnd w:id="1"/>
            <w:r>
              <w:rPr>
                <w:rFonts w:hint="eastAsia"/>
                <w:highlight w:val="none"/>
                <w:lang w:val="en-US" w:eastAsia="zh-CN"/>
              </w:rPr>
              <w:t>，体检机构：滁州协成医院，体检时间：2021.7.23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有安全教育、操作培训、健康体检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2021年5月12日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7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0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《环境和职业健康安全监视和测量控制程序》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保管员日常检查记录 》，每月安全部查核一次，每周车间负责人查核，每日每班班组自检，均有记录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，结论：    </w:t>
            </w: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电气防火检测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，结论：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防雷防静电检测报告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，结论：      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《合规性评价控制程序》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2409"/>
              <w:gridCol w:w="2344"/>
              <w:gridCol w:w="16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24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危险化学品安全管理条例</w:t>
                  </w:r>
                </w:p>
              </w:tc>
              <w:tc>
                <w:tcPr>
                  <w:tcW w:w="240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江苏省消防条例</w:t>
                  </w: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职业病防治法</w:t>
                  </w: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江苏省工伤保险条例</w:t>
                  </w: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  <w:t>2021年1月18日</w:t>
                  </w: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166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3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6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2021年6月16日</w:t>
            </w:r>
            <w:r>
              <w:rPr>
                <w:rFonts w:hint="eastAsia"/>
                <w:color w:val="000000"/>
                <w:szCs w:val="18"/>
              </w:rPr>
              <w:t>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8.3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管理层、供销部、生产部、财务部、办公室....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GB/T24001-2016/ISO14001:2015标准6.1.2条款、  GB/T45001:2020标准6.1.2条款内容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lang w:val="en-US" w:eastAsia="zh-CN"/>
              </w:rPr>
              <w:t>章、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u w:val="single"/>
              </w:rPr>
              <w:t>王银春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 1</w:t>
            </w:r>
            <w:r>
              <w:rPr>
                <w:rFonts w:hint="eastAsia"/>
                <w:lang w:val="en-US" w:eastAsia="zh-CN"/>
              </w:rPr>
              <w:t>名</w:t>
            </w:r>
          </w:p>
          <w:tbl>
            <w:tblPr>
              <w:tblStyle w:val="7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4"/>
              <w:gridCol w:w="1203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highlight w:val="cyan"/>
              </w:rPr>
            </w:pP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满意度符合要求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A11C4E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86753"/>
    <w:rsid w:val="3EDD2B90"/>
    <w:rsid w:val="3EE3221D"/>
    <w:rsid w:val="3EEF1E6E"/>
    <w:rsid w:val="3F532B3A"/>
    <w:rsid w:val="3F654598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911E65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524C15"/>
    <w:rsid w:val="53660E02"/>
    <w:rsid w:val="536F60C1"/>
    <w:rsid w:val="5370554A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23CB2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620D9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2021-08-23T04:50:47Z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35C8BFBCD38046D0862B9E74C9EF58B9</vt:lpwstr>
  </property>
</Properties>
</file>