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960"/>
        <w:gridCol w:w="744"/>
        <w:gridCol w:w="926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>杭震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2021-08-23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6.1.2  7.1  8.2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如：手册第6.1.2条款、《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环境因素控制程序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6"/>
              <w:tblW w:w="4835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1"/>
              <w:gridCol w:w="2194"/>
              <w:gridCol w:w="1461"/>
              <w:gridCol w:w="34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961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重要环境因素</w:t>
                  </w:r>
                </w:p>
              </w:tc>
              <w:tc>
                <w:tcPr>
                  <w:tcW w:w="1254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存在地域</w:t>
                  </w:r>
                </w:p>
              </w:tc>
              <w:tc>
                <w:tcPr>
                  <w:tcW w:w="83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环境影响</w:t>
                  </w:r>
                </w:p>
              </w:tc>
              <w:tc>
                <w:tcPr>
                  <w:tcW w:w="1948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961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火灾</w:t>
                  </w:r>
                </w:p>
              </w:tc>
              <w:tc>
                <w:tcPr>
                  <w:tcW w:w="1254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车间、仓库、办公</w:t>
                  </w:r>
                </w:p>
              </w:tc>
              <w:tc>
                <w:tcPr>
                  <w:tcW w:w="83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大气污染</w:t>
                  </w:r>
                </w:p>
              </w:tc>
              <w:tc>
                <w:tcPr>
                  <w:tcW w:w="1948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运行控制；应急准备与响应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961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电的消耗</w:t>
                  </w:r>
                </w:p>
              </w:tc>
              <w:tc>
                <w:tcPr>
                  <w:tcW w:w="1254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生产、办公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83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资源浪费</w:t>
                  </w:r>
                </w:p>
              </w:tc>
              <w:tc>
                <w:tcPr>
                  <w:tcW w:w="1948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通过运行控制/目标、管理方案控制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1000万元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227万元</w:t>
            </w:r>
          </w:p>
          <w:bookmarkEnd w:id="0"/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963015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00DC6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26923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674EDB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37017C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3C2112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58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2021-08-24T17:20:26Z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3FBEE692267F45ABA9BB2EC7CDED3201</vt:lpwstr>
  </property>
</Properties>
</file>