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杭震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张磊、周文廷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2021-07-29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5"/>
              <w:spacing w:after="0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6.1.2/6.1.3/6.1.4/6.2/7.2/7.4/7.5/8.1/8.2/9.1.1/9.1.2/9.2 /10.2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固废处理率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火灾发生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发生率为0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6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环境因素的识别与评价控制程序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最终处置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环境因素的识别与评价控制程序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1"/>
              <w:gridCol w:w="2057"/>
              <w:gridCol w:w="1600"/>
              <w:gridCol w:w="1524"/>
              <w:gridCol w:w="34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重要环境因素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存在地域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环境影响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701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危废（废机油、废活性炭等）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生产、办公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水土污染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集中回收，暂存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701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车间、仓库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大气污染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运行控制；应急准备与响应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701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噪声排放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噪声污染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通过运行控制/目标、管理方案控制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701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05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电的消耗</w:t>
                  </w:r>
                </w:p>
              </w:tc>
              <w:tc>
                <w:tcPr>
                  <w:tcW w:w="16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生产、办公</w:t>
                  </w:r>
                </w:p>
              </w:tc>
              <w:tc>
                <w:tcPr>
                  <w:tcW w:w="15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资源浪费</w:t>
                  </w:r>
                </w:p>
              </w:tc>
              <w:tc>
                <w:tcPr>
                  <w:tcW w:w="3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通过运行控制/目标、管理方案控制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法律法规和其他要求控制程序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《法律法规其他要求清单》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国家危险废物名录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危险废弃物管理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污水综合排放标准</w:t>
                  </w:r>
                  <w:r>
                    <w:rPr>
                      <w:rFonts w:hint="eastAsia"/>
                      <w:highlight w:val="none"/>
                    </w:rPr>
                    <w:t>GB8978-1996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大气污染物综合排放标准</w:t>
                  </w:r>
                  <w:r>
                    <w:rPr>
                      <w:rFonts w:hint="eastAsia"/>
                      <w:highlight w:val="none"/>
                    </w:rPr>
                    <w:t>GB16297-1996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2级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废气处理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工业企业厂界环境噪声排放标准</w:t>
                  </w:r>
                  <w:r>
                    <w:rPr>
                      <w:rFonts w:hint="eastAsia"/>
                      <w:highlight w:val="none"/>
                    </w:rPr>
                    <w:t>GB12348-2008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三类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设备管理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年产2000万个彩色瓦楞纸箱生产加工项目</w:t>
            </w:r>
            <w:r>
              <w:rPr>
                <w:rFonts w:hint="eastAsia"/>
                <w:color w:val="auto"/>
                <w:szCs w:val="18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</w:rPr>
              <w:t>环评验收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auto"/>
                <w:szCs w:val="18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滁环[2020]302号 颁布日期：2020年7月10号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固体废物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手册第6.1.4条款、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组织针对</w:t>
            </w:r>
            <w:r>
              <w:rPr>
                <w:rFonts w:hint="eastAsia"/>
                <w:lang w:val="en-US" w:eastAsia="zh-CN"/>
              </w:rPr>
              <w:t>重要环境因素、合规义务、风险和机遇制订了控制措施（管理方案）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废水超标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《废水管理程序》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废气超标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《废气管理程序》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危废排放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《固体废弃物控制程序》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《消防安全管理程序》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安全部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噪声排放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《噪声控制程序》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>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抽查任职能力情况：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杭震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办公室、供销部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专业：安全技术工商管理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26年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刘付孝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生产部经理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5年以上本行业或相近行业工作经验，2年以上基层管理经验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专业：应用化工技术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</w:rPr>
                  </w:pPr>
                  <w:r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</w:rPr>
                    <w:t>王银春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/>
                      <w:snapToGrid w:val="0"/>
                      <w:color w:val="auto"/>
                      <w:kern w:val="0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  <w:lang w:val="en-US" w:eastAsia="zh-CN"/>
                    </w:rPr>
                    <w:t>员工代表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学历：高中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相关生产技术培训，基本生产运作培训，机器操作，安全生产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0.5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00名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3423"/>
              <w:gridCol w:w="1288"/>
              <w:gridCol w:w="1032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34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28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032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2021年 01月 15日</w:t>
                  </w:r>
                </w:p>
              </w:tc>
              <w:tc>
                <w:tcPr>
                  <w:tcW w:w="34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GB/T19001-2016、GB/T24001-2016、ISO45001:2018体系标准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2021.04.08</w:t>
                  </w:r>
                </w:p>
              </w:tc>
              <w:tc>
                <w:tcPr>
                  <w:tcW w:w="34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刘付效、王建成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宋体"/>
                      <w:spacing w:val="-1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58"/>
                      <w:sz w:val="22"/>
                      <w:szCs w:val="24"/>
                    </w:rPr>
                    <w:t xml:space="preserve"> </w:t>
                  </w:r>
                  <w:r>
                    <w:rPr>
                      <w:rFonts w:hint="eastAsia" w:ascii="宋体"/>
                      <w:sz w:val="22"/>
                      <w:szCs w:val="24"/>
                    </w:rPr>
                    <w:t>年</w:t>
                  </w:r>
                  <w:r>
                    <w:rPr>
                      <w:rFonts w:hint="default" w:ascii="宋体"/>
                      <w:sz w:val="22"/>
                      <w:szCs w:val="24"/>
                    </w:rPr>
                    <w:t>0</w:t>
                  </w:r>
                  <w:r>
                    <w:rPr>
                      <w:rFonts w:hint="eastAsia" w:ascii="宋体"/>
                      <w:sz w:val="22"/>
                      <w:szCs w:val="24"/>
                    </w:rPr>
                    <w:t>3月10日</w:t>
                  </w:r>
                </w:p>
              </w:tc>
              <w:tc>
                <w:tcPr>
                  <w:tcW w:w="342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重大危险源、重要环境因素控制、管理方案学习</w:t>
                  </w:r>
                </w:p>
              </w:tc>
              <w:tc>
                <w:tcPr>
                  <w:tcW w:w="128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戴吉强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T341126199711066014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2025-06-03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锅炉工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压力管道操作工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陆抱慧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T320623198403083030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2021-6-16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安全员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2021.7.29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设备送检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安徽中家智瑞科技有限公司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面谈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设备已送检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sz w:val="24"/>
                    </w:rPr>
                    <w:t>21.1.13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安全问题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员工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每周办公例会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2021.03.10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重大危险源、重要环境因素控制、管理方案学习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64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GB 18218-2018危险化学品重大危险源辨识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劳动防护用品管理规定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8"/>
              <w:tblW w:w="88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3"/>
              <w:gridCol w:w="2155"/>
              <w:gridCol w:w="1256"/>
              <w:gridCol w:w="1355"/>
              <w:gridCol w:w="17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2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7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培训记录表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基础设施一览表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设备维护保养记录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固体废弃物控制程序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一般垃圾的处置：生活垃圾由园区统一处理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■消防：有消防栓、灭火器（干粉）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查看2021年4月社保缴纳记录：缴费人数2</w:t>
            </w:r>
            <w:bookmarkStart w:id="0" w:name="_GoBack"/>
            <w:bookmarkEnd w:id="0"/>
            <w:r>
              <w:rPr>
                <w:rFonts w:hint="eastAsia"/>
                <w:color w:val="FF0000"/>
                <w:lang w:val="en-US" w:eastAsia="zh-CN"/>
              </w:rPr>
              <w:t>5人，已完成缴费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2021年5月12日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《环保日常巡查记录》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污染物种类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2409"/>
              <w:gridCol w:w="2344"/>
              <w:gridCol w:w="16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危险化学品安全管理条例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江苏省工伤保险条例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E9.2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如：《内审控制程序》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2021年6月16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管理层、供销部、生产部、财务部、办公室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GB/T24001-2016/ISO14001:2015标准6.1.2条款、  GB/T45001:2020标准6.1.2条款内容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279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如：《不符合和纠正措施控制程序》</w:t>
            </w:r>
          </w:p>
        </w:tc>
        <w:tc>
          <w:tcPr>
            <w:tcW w:w="127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环保事故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工作运行中检查的问题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》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420420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7661F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6D7202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2021-08-15T02:20:32Z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7A2F395DFB1B4CFA8A20AB466C466374</vt:lpwstr>
  </property>
</Properties>
</file>