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43DEE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43DEE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43DEE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43DEE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43DEE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43DEE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43DEE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43DEE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943D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43D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237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吴佩佩</w:t>
            </w:r>
            <w:bookmarkStart w:id="0" w:name="_GoBack"/>
            <w:bookmarkEnd w:id="0"/>
            <w:r w:rsidR="00965FA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153C4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张博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43DEE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43DEE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43DEE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7517A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EE075C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.1.</w:t>
            </w:r>
            <w:r w:rsidR="00300C8C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879" w:type="dxa"/>
            <w:vMerge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43DEE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943DEE" w:rsidRDefault="0084257F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QMS: 5.3组织的岗位、职责和权限、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7.1.2人员、</w:t>
            </w:r>
            <w:r w:rsidR="001A7AD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7.1.6组织知识、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7.2能力、7.3意识、</w:t>
            </w:r>
            <w:r w:rsidR="001A7AD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7.5文件化信息、9.2 内部审核、10.2不合格和纠正措施；</w:t>
            </w:r>
          </w:p>
          <w:p w:rsidR="001A7ADF" w:rsidRPr="00943DEE" w:rsidRDefault="001A7ADF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EMS: 5.3组织的岗位、职责和权限、</w:t>
            </w:r>
            <w:r w:rsidR="00A024F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7.2能力、7.3意识、</w:t>
            </w:r>
            <w:r w:rsidR="00265FA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7.5文件化信息、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8.1运行策划和控制、8.2应急准备和响应、</w:t>
            </w:r>
            <w:r w:rsidR="00265FA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9.2 内部审核、10.2不合格和纠正措施；</w:t>
            </w:r>
          </w:p>
          <w:p w:rsidR="00642669" w:rsidRPr="00943DEE" w:rsidRDefault="001A7ADF" w:rsidP="009775E0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OHSAS:4.4.1资源、作用、职责、责任和权限、</w:t>
            </w:r>
            <w:r w:rsidR="009D623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4.4.2能力、培训和意识、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4.4.4/5文件/</w:t>
            </w:r>
            <w:r w:rsidR="009D623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的控制、4.5.4记录控制、4.5.3事件调查、不符合、纠正措施和预防措施、4.5.5内部审核；</w:t>
            </w:r>
          </w:p>
        </w:tc>
        <w:tc>
          <w:tcPr>
            <w:tcW w:w="879" w:type="dxa"/>
            <w:vMerge/>
          </w:tcPr>
          <w:p w:rsidR="00642669" w:rsidRPr="00943DEE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1255"/>
        </w:trPr>
        <w:tc>
          <w:tcPr>
            <w:tcW w:w="1413" w:type="dxa"/>
          </w:tcPr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4.4.1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该部门职责无变化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，主要负责公司体系文件、资料、记录及外来文件的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管理；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协助管理</w:t>
            </w:r>
            <w:proofErr w:type="gramStart"/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层贯彻</w:t>
            </w:r>
            <w:proofErr w:type="gramEnd"/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落实公司管理方针和目标指标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和管理评审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公司人力资源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负责制定培训计划并组织培训，建立职工教育档案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组织对本公司的环境因素/危险源进行识别/辨识和评价，确定重要环境因素和重大危险源；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内、外部相关信息的传递、处理及内部沟通活动；负责制定内部审核计划，组织实施内部审核，并监督检查纠正措施的落实；负责管理体系绩效的监测和测量；负责法律、法规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及其他要求收集、更新，</w:t>
            </w:r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proofErr w:type="gramStart"/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91630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1255"/>
        </w:trPr>
        <w:tc>
          <w:tcPr>
            <w:tcW w:w="1413" w:type="dxa"/>
          </w:tcPr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</w:t>
            </w:r>
          </w:p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2128D" w:rsidRPr="00943DEE" w:rsidRDefault="008138D2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《人力资源控制程序</w:t>
            </w:r>
            <w:r w:rsidR="00540C2F" w:rsidRPr="00943DEE">
              <w:rPr>
                <w:rFonts w:asciiTheme="minorEastAsia" w:eastAsiaTheme="minorEastAsia" w:hAnsiTheme="minorEastAsia" w:hint="eastAsia"/>
                <w:sz w:val="24"/>
              </w:rPr>
              <w:t>SDBL.CX07-2018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其内容包括：目的、范围、职责、程序内容、相关文件、相关内容等对人员的认知要求、能力、意识和培训等方面的控制进行了规定。办公室根据各部门的需要配备管理体系运行所需的人员，任命内审员均经过相关培训。各部门人员配备基本充分，基本符合要求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656D05">
        <w:trPr>
          <w:trHeight w:val="378"/>
        </w:trPr>
        <w:tc>
          <w:tcPr>
            <w:tcW w:w="1413" w:type="dxa"/>
          </w:tcPr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Q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138D2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所需的知识，交流与以往相比没有变化：</w:t>
            </w:r>
          </w:p>
          <w:p w:rsidR="0082128D" w:rsidRPr="00943DEE" w:rsidRDefault="008138D2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制度、作业记录等）、管理过程控制失败和成功项目吸取的经验教训和改进的结果等；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</w:t>
            </w:r>
            <w:r w:rsidR="008138D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、技术标准等）、法律法规、市场信息等。对知识的保持采取文件资料的保存和信息系统存储方式，在公司内部通过传递、交流、培训等方式获取。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1255"/>
        </w:trPr>
        <w:tc>
          <w:tcPr>
            <w:tcW w:w="1413" w:type="dxa"/>
          </w:tcPr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</w:t>
            </w:r>
          </w:p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4.4.2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公司提供各岗位职责要求，对各岗位能力规定的要求包括了专业技能、岗位资格、能力、工作经验等。提供《员工能力评定表》人员具备各自岗位能力评定条件，最终确认结果：满足岗位能力要求。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培训计划，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制表：武佩佩，批准：王允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年5月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30日，</w:t>
            </w:r>
            <w:proofErr w:type="gramStart"/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计划包括手册和程序培训、关键、特殊过程、作业指导书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培训、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安全环境和质量意识培训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法律法规和其他要求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培训、</w:t>
            </w:r>
            <w:r w:rsidR="004763D7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检验员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73792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2020.5.11-15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73792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全体人员培训 培训题目质量、环境、职业健康安全管理体系管理手册和程序文件、质量、环境、安全意识，培训老师：张博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2800D4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通过提问考核，考核结果：100%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合格。</w:t>
            </w:r>
          </w:p>
          <w:p w:rsidR="004F7CC5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4F7CC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2020.10.19：全体人员培训 培训题目规章制度、指导书、法规，培训老师：张博，通过提问考核，考核结果：100%合格。</w:t>
            </w:r>
          </w:p>
          <w:p w:rsidR="0082128D" w:rsidRPr="00943DEE" w:rsidRDefault="00FD7FF8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43D4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2020.12.7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743D4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全体人员培训，培训题目关键、特殊过程的操作技能和改环境、安全表现，培训老师：张博，记录培训详细内容，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</w:t>
            </w:r>
            <w:r w:rsidR="00743D4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现场提问考核，考核结果：100%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合格。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1255"/>
        </w:trPr>
        <w:tc>
          <w:tcPr>
            <w:tcW w:w="1413" w:type="dxa"/>
          </w:tcPr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</w:p>
          <w:p w:rsidR="0082128D" w:rsidRPr="00943DEE" w:rsidRDefault="0082128D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2128D" w:rsidRPr="00943DEE" w:rsidRDefault="006C77BA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4.4.2</w:t>
            </w:r>
          </w:p>
        </w:tc>
        <w:tc>
          <w:tcPr>
            <w:tcW w:w="11141" w:type="dxa"/>
            <w:vAlign w:val="center"/>
          </w:tcPr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</w:t>
            </w:r>
            <w:r w:rsidR="00D7528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会议、</w:t>
            </w:r>
            <w:r w:rsidR="00D146E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宣传等方法使在组织控制范围内的相关工作人员知晓和理解：质量、环境、职业健康安全方针、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相关的质量、环境、职业健康安全目标；员工</w:t>
            </w:r>
            <w:r w:rsidR="00D146E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为本公司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管理体系有效性的贡献</w:t>
            </w:r>
            <w:r w:rsidR="00D146E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的意义和途径，包括改进管理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绩效的益处；不符合质量、环境和职业健康安全管理体系要求的后果。</w:t>
            </w:r>
          </w:p>
          <w:p w:rsidR="0082128D" w:rsidRPr="00943DEE" w:rsidRDefault="00D146E0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询问办公室负责人明确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公司方针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和管理目标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，也了解自己的工作好坏会影响组织资质量、环境、职业健康安全管理体系的有效运行。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656D05">
        <w:trPr>
          <w:trHeight w:val="378"/>
        </w:trPr>
        <w:tc>
          <w:tcPr>
            <w:tcW w:w="1413" w:type="dxa"/>
          </w:tcPr>
          <w:p w:rsidR="0082128D" w:rsidRPr="00943DEE" w:rsidRDefault="006C77BA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文件化信息</w:t>
            </w:r>
          </w:p>
        </w:tc>
        <w:tc>
          <w:tcPr>
            <w:tcW w:w="1276" w:type="dxa"/>
          </w:tcPr>
          <w:p w:rsidR="006C77BA" w:rsidRPr="00943DEE" w:rsidRDefault="006C77BA" w:rsidP="006C77B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E87595" w:rsidRPr="00943DEE" w:rsidRDefault="00E87595" w:rsidP="00902F4F">
            <w:pPr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E87595" w:rsidRPr="00943DEE" w:rsidRDefault="00E87595" w:rsidP="00902F4F">
            <w:pPr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7.5.2</w:t>
            </w:r>
          </w:p>
          <w:p w:rsidR="00E87595" w:rsidRPr="00943DEE" w:rsidRDefault="00E87595" w:rsidP="00902F4F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7.5.3</w:t>
            </w:r>
          </w:p>
          <w:p w:rsidR="0082128D" w:rsidRPr="00943DEE" w:rsidRDefault="006C77BA" w:rsidP="006C77B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="00902F4F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Arial" w:hint="eastAsia"/>
                <w:szCs w:val="21"/>
              </w:rPr>
              <w:t>4.4.4/5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41" w:type="dxa"/>
            <w:vAlign w:val="center"/>
          </w:tcPr>
          <w:p w:rsidR="00E87595" w:rsidRPr="00943DEE" w:rsidRDefault="00E87595" w:rsidP="000D139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公司质量、环境、职业健康安全管理体系应包括：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手册、程序文件、管理制度、作业文件和外来文件、记录</w:t>
            </w:r>
          </w:p>
          <w:p w:rsidR="00E87595" w:rsidRPr="00943DEE" w:rsidRDefault="00E87595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本阶段</w:t>
            </w:r>
            <w:proofErr w:type="gramStart"/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无文件</w:t>
            </w:r>
            <w:proofErr w:type="gramEnd"/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更改；负责人明确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创建和更新成文信息</w:t>
            </w:r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时，确保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文件标识和说明</w:t>
            </w:r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适宜的格式和媒介</w:t>
            </w:r>
            <w:r w:rsidR="0062528B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文件经过评审和批准，确保适宜性和充分性。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82128D" w:rsidRPr="00943DEE" w:rsidRDefault="0062528B" w:rsidP="000D139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E03B49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提供文件控制程序、受控文件清单</w:t>
            </w:r>
            <w:r w:rsidR="00E03B49" w:rsidRPr="00943DEE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1392" w:rsidRPr="00943DEE" w:rsidTr="007517A7">
        <w:trPr>
          <w:trHeight w:val="1229"/>
        </w:trPr>
        <w:tc>
          <w:tcPr>
            <w:tcW w:w="1413" w:type="dxa"/>
          </w:tcPr>
          <w:p w:rsidR="000D1392" w:rsidRPr="00943DEE" w:rsidRDefault="000D1392" w:rsidP="00B2213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记录控制</w:t>
            </w:r>
          </w:p>
        </w:tc>
        <w:tc>
          <w:tcPr>
            <w:tcW w:w="1276" w:type="dxa"/>
          </w:tcPr>
          <w:p w:rsidR="000D1392" w:rsidRPr="00943DEE" w:rsidRDefault="000D1392" w:rsidP="000D139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>4.5.4</w:t>
            </w:r>
          </w:p>
        </w:tc>
        <w:tc>
          <w:tcPr>
            <w:tcW w:w="11141" w:type="dxa"/>
            <w:vAlign w:val="center"/>
          </w:tcPr>
          <w:p w:rsidR="000D1392" w:rsidRPr="00943DEE" w:rsidRDefault="000D1392" w:rsidP="00E03B49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公司建立并执行《记录控制程序</w:t>
            </w:r>
            <w:r w:rsidR="00656D0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SDBL.CX04-2018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8238A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，明确记录归档、保管要求及期限</w:t>
            </w:r>
          </w:p>
          <w:p w:rsidR="000D1392" w:rsidRPr="00943DEE" w:rsidRDefault="000D1392" w:rsidP="00E03B49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提供记录清单：明确记录名称、编号、保存期限</w:t>
            </w:r>
            <w:r w:rsidR="008238A5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8A5" w:rsidRPr="00943DEE" w:rsidRDefault="008238A5" w:rsidP="00E03B49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现场抽查档案：标识清楚便于检索、分类定期归档存放于档案柜中。</w:t>
            </w:r>
          </w:p>
        </w:tc>
        <w:tc>
          <w:tcPr>
            <w:tcW w:w="879" w:type="dxa"/>
          </w:tcPr>
          <w:p w:rsidR="000D1392" w:rsidRPr="00943DEE" w:rsidRDefault="000D1392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7517A7">
        <w:trPr>
          <w:trHeight w:val="1229"/>
        </w:trPr>
        <w:tc>
          <w:tcPr>
            <w:tcW w:w="1413" w:type="dxa"/>
          </w:tcPr>
          <w:p w:rsidR="0082128D" w:rsidRPr="00943DEE" w:rsidRDefault="0082128D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运行策划和控制</w:t>
            </w:r>
          </w:p>
          <w:p w:rsidR="0082128D" w:rsidRDefault="0082128D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0B25" w:rsidRDefault="008F0B25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0B25" w:rsidRPr="00943DEE" w:rsidRDefault="008F0B25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276" w:type="dxa"/>
          </w:tcPr>
          <w:p w:rsidR="0082128D" w:rsidRPr="00943DEE" w:rsidRDefault="0082128D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2F21BC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8.1</w:t>
            </w:r>
          </w:p>
          <w:p w:rsidR="0082128D" w:rsidRPr="00943DEE" w:rsidRDefault="008F0B25" w:rsidP="002F21B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4.4.6</w:t>
            </w:r>
          </w:p>
        </w:tc>
        <w:tc>
          <w:tcPr>
            <w:tcW w:w="11141" w:type="dxa"/>
            <w:vAlign w:val="center"/>
          </w:tcPr>
          <w:p w:rsidR="00926E86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</w:t>
            </w:r>
            <w:r w:rsidR="00926E8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并执行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与环境、安全管理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体系运行控制有关的文件</w:t>
            </w:r>
            <w:r w:rsidR="00926E8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2128D" w:rsidRPr="00943DEE" w:rsidRDefault="00926E86" w:rsidP="00B2213A">
            <w:pPr>
              <w:spacing w:line="320" w:lineRule="exact"/>
              <w:ind w:firstLine="4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《固体废弃物控制程序</w:t>
            </w:r>
            <w:r w:rsidR="003A1332" w:rsidRPr="00943DEE">
              <w:rPr>
                <w:rFonts w:asciiTheme="minorEastAsia" w:eastAsiaTheme="minorEastAsia" w:hAnsiTheme="minorEastAsia" w:hint="eastAsia"/>
                <w:sz w:val="24"/>
              </w:rPr>
              <w:t>SDBL.CX20-2018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》、《能源资源管理程序</w:t>
            </w:r>
            <w:r w:rsidR="003A1332" w:rsidRPr="00943DEE">
              <w:rPr>
                <w:rFonts w:asciiTheme="minorEastAsia" w:eastAsiaTheme="minorEastAsia" w:hAnsiTheme="minorEastAsia" w:hint="eastAsia"/>
                <w:sz w:val="24"/>
              </w:rPr>
              <w:t>SDBL.CX21-2018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》、《消防安全管理程序</w:t>
            </w:r>
            <w:r w:rsidR="003A1332" w:rsidRPr="00943DEE">
              <w:rPr>
                <w:rFonts w:asciiTheme="minorEastAsia" w:eastAsiaTheme="minorEastAsia" w:hAnsiTheme="minorEastAsia" w:hint="eastAsia"/>
                <w:sz w:val="24"/>
              </w:rPr>
              <w:t>SDBL.CX13-2018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》、《相关方管理程序</w:t>
            </w:r>
            <w:r w:rsidR="003A1332" w:rsidRPr="00943DEE">
              <w:rPr>
                <w:rFonts w:asciiTheme="minorEastAsia" w:eastAsiaTheme="minorEastAsia" w:hAnsiTheme="minorEastAsia" w:hint="eastAsia"/>
                <w:sz w:val="24"/>
              </w:rPr>
              <w:t>SDBL.CX12-2018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》等。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1、废水管控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无生产废水，生活废水排入园区污水管网统一处理。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2、废气管控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办公及</w:t>
            </w:r>
            <w:r w:rsidR="007F50D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现场基本无废气排放。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3、噪声管控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办公噪声主要是打印机及复印机运行，噪声较低，采取措施购置噪声小的产品，按时清洁保养。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</w:t>
            </w:r>
            <w:proofErr w:type="gramStart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固废管控</w:t>
            </w:r>
            <w:proofErr w:type="gramEnd"/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主要为生活垃圾和办公固废</w:t>
            </w:r>
            <w:r w:rsidR="00F66E27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，办公室有垃圾</w:t>
            </w:r>
            <w:proofErr w:type="gramStart"/>
            <w:r w:rsidR="00F66E27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筐</w:t>
            </w:r>
            <w:proofErr w:type="gramEnd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集中倒入垃圾站由市政环卫运送</w:t>
            </w:r>
            <w:proofErr w:type="gramStart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至统一</w:t>
            </w:r>
            <w:proofErr w:type="gramEnd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地点集中处理。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查到废弃物处置统计表，抽查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2020.6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.2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3日处理：废灯管1支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废电池2节、废色带、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硒鼓/墨盒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各1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个、废包装物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5kg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；抽2020.12.20日处理：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废办公用纸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kg</w:t>
            </w:r>
            <w:r w:rsidR="008E4F9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，记录处理方式回收或废品收购站处理，处理人张博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2128D" w:rsidRPr="00943DEE" w:rsidRDefault="0082128D" w:rsidP="00B2213A">
            <w:pPr>
              <w:numPr>
                <w:ilvl w:val="0"/>
                <w:numId w:val="1"/>
              </w:num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能源资源管控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销售过程注意节水、节电，人走关闭开关，现场未发现有漏水和浪费电能的现象。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6、潜在火灾管控</w:t>
            </w:r>
          </w:p>
          <w:p w:rsidR="0082128D" w:rsidRPr="00943DEE" w:rsidRDefault="0082128D" w:rsidP="00B2213A">
            <w:pPr>
              <w:spacing w:line="320" w:lineRule="exact"/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办公室所在办公区域公司配有2个灭火器，在有效期内，符合要求。</w:t>
            </w:r>
          </w:p>
          <w:p w:rsidR="0082128D" w:rsidRPr="00943DEE" w:rsidRDefault="007517A7" w:rsidP="001F350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7、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为体系运行及时提供了财务支持，查</w:t>
            </w:r>
            <w:r w:rsidR="009D51B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2020.8.20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9D51B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环境、安全财务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支出</w:t>
            </w:r>
            <w:r w:rsidR="009D51B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明细：</w:t>
            </w:r>
            <w:proofErr w:type="gramStart"/>
            <w:r w:rsidR="009D51B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员工五险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3万元</w:t>
            </w:r>
            <w:proofErr w:type="gramEnd"/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9D51B6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消防器材1000元，环境安全培训1500元，劳保用品1000元，员工体检1000元等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2128D" w:rsidRPr="00943DEE" w:rsidRDefault="0082128D" w:rsidP="00B2213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运行控制基本符合要求。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2110"/>
        </w:trPr>
        <w:tc>
          <w:tcPr>
            <w:tcW w:w="1413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2F21BC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8.2</w:t>
            </w:r>
          </w:p>
          <w:p w:rsidR="0082128D" w:rsidRPr="00943DEE" w:rsidRDefault="008F0B25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O4.4.7</w:t>
            </w:r>
          </w:p>
        </w:tc>
        <w:tc>
          <w:tcPr>
            <w:tcW w:w="11141" w:type="dxa"/>
            <w:vAlign w:val="center"/>
          </w:tcPr>
          <w:p w:rsidR="0082128D" w:rsidRPr="00943DEE" w:rsidRDefault="00E11A32" w:rsidP="00B2213A">
            <w:pPr>
              <w:pStyle w:val="Style2"/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《应急准备和响应程序</w:t>
            </w:r>
            <w:r w:rsidR="00656D05" w:rsidRPr="00943DEE">
              <w:rPr>
                <w:rFonts w:asciiTheme="minorEastAsia" w:eastAsiaTheme="minorEastAsia" w:hAnsiTheme="minorEastAsia" w:hint="eastAsia"/>
                <w:sz w:val="24"/>
              </w:rPr>
              <w:t>SDBL.CX15-2018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》，查看内容基本符合要求。</w:t>
            </w:r>
          </w:p>
          <w:p w:rsidR="0082128D" w:rsidRPr="00943DEE" w:rsidRDefault="0082128D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应急预案包括火灾、触电、意外伤害、食物中毒等意外伤害等应急预案，明确了紧急处理的</w:t>
            </w:r>
            <w:r w:rsidR="00E11A3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分工、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措施和设施，基本符合要求。</w:t>
            </w:r>
          </w:p>
          <w:p w:rsidR="0082128D" w:rsidRPr="00943DEE" w:rsidRDefault="00F66E27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公司进行了火灾演练，查应急演练记录：</w:t>
            </w:r>
          </w:p>
          <w:p w:rsidR="0082128D" w:rsidRPr="00943DEE" w:rsidRDefault="0082128D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查到演练时间</w:t>
            </w:r>
            <w:r w:rsidR="00E11A3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2020.6.11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E11A32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  <w:r w:rsidR="00585E3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，地点公司空地，对演练过程进行了描述，提供应急演练记录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，记录了</w:t>
            </w:r>
            <w:r w:rsidR="00585E3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参加部门和人数、物资准备和人员培训情况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585E31" w:rsidRPr="00943DEE" w:rsidRDefault="00CA1744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对预案适宜生、充分性进行评审，能够执行，满足应急要求。</w:t>
            </w:r>
          </w:p>
          <w:p w:rsidR="00585E31" w:rsidRPr="00943DEE" w:rsidRDefault="00585E31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有演练效果评审：人员基本按时到位、现场物资充分、有效，注意个别人防护不到位，协调基本顺利，分工基本合理，能完成任务，达到预期目标，报告及时。</w:t>
            </w:r>
          </w:p>
          <w:p w:rsidR="00585E31" w:rsidRPr="00943DEE" w:rsidRDefault="00585E31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存在问题：有1人没有穿工作服，有1人灭火时没有在上风口，提出改进措施要求并现场讲评</w:t>
            </w:r>
          </w:p>
          <w:p w:rsidR="0082128D" w:rsidRPr="00943DEE" w:rsidRDefault="00585E31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记录人：武佩佩，评审人：王允</w:t>
            </w:r>
            <w:r w:rsidR="0082128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2128D" w:rsidRPr="00943DEE" w:rsidRDefault="0082128D" w:rsidP="00B2213A">
            <w:pPr>
              <w:pStyle w:val="Style2"/>
              <w:spacing w:line="320" w:lineRule="exact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目前未发生火灾、人身伤害等事故。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2110"/>
        </w:trPr>
        <w:tc>
          <w:tcPr>
            <w:tcW w:w="1413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4.5.5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2128D" w:rsidRPr="00943DEE" w:rsidRDefault="00D23B9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《内部审核管理程序</w:t>
            </w:r>
            <w:r w:rsidR="0048723A" w:rsidRPr="00943DEE">
              <w:rPr>
                <w:rFonts w:asciiTheme="minorEastAsia" w:eastAsiaTheme="minorEastAsia" w:hAnsiTheme="minorEastAsia" w:hint="eastAsia"/>
                <w:sz w:val="24"/>
              </w:rPr>
              <w:t>SDBL.CX08-2018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》，并能按标准规定对内部审核的策划、实施、人员安排与资质、内部审核的记录、不符合项的分析与验证，以及审核的结论等开展内部审核。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82128D" w:rsidRPr="00943DEE" w:rsidRDefault="00D23B9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提供《内审计划》，其内容已包括了审核目的、范围、依据、审核组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日程安全，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内审日期：2020.10.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19-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20日，编制：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武佩佩、批准：张博</w:t>
            </w:r>
            <w:r w:rsidR="00B04FE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B04FE1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B04FE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批准时间：2020.10.10日</w:t>
            </w:r>
          </w:p>
          <w:p w:rsidR="0082128D" w:rsidRPr="00943DEE" w:rsidRDefault="004A7CDA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审核目的：验证质量环境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职业健康安全管理体系对标准的符合性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、有效性，查找存在问题并改进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审核依据：GB/T19001-2016、GB/T24001-2016、GB/T28001-2011的标准、管理体系文件、顾客要求、相关法律法规等</w:t>
            </w:r>
            <w:r w:rsidR="00902F4F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内部审核实施：组长：</w:t>
            </w:r>
            <w:r w:rsidR="000C0E98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武佩佩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0C0E98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张博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="000C0E9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proofErr w:type="gramStart"/>
            <w:r w:rsidR="000C0E98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侯惠于</w:t>
            </w:r>
            <w:proofErr w:type="gramEnd"/>
            <w:r w:rsidR="000C0E9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，审核按计划进行，全部内审员经内部培训合格，能力尚可。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提供了《内部审核检查表》，其中包括总经理/管理者代表、办公室、供销部等部门的审核记录，条款与策划一致，记录真实、完整。</w:t>
            </w:r>
          </w:p>
          <w:p w:rsidR="0082128D" w:rsidRPr="00943DEE" w:rsidRDefault="0082128D" w:rsidP="00B2213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本次内审发现1个一般不符合项</w:t>
            </w:r>
            <w:r w:rsidR="00B1555E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，不符合标准条款Q8.5.2/E8.1/O4.4.6</w:t>
            </w:r>
            <w:r w:rsidR="00B1555E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B1555E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库房区域标示牌脱落；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针对这个不合格，责任部门已分析了原因并采取了纠正措施，按要求进行了整改，</w:t>
            </w:r>
            <w:proofErr w:type="gramStart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最后内</w:t>
            </w:r>
            <w:proofErr w:type="gramEnd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审员进行了验证，纠正措施实施有效。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</w:t>
            </w:r>
            <w:r w:rsidR="00B644E7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方针是适宜的，符合标准要求和法律法规要求，管理体系得到了有效实施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D30BB5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B644E7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武佩佩 批准：张博</w:t>
            </w:r>
          </w:p>
          <w:p w:rsidR="0082128D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8F0B25" w:rsidRDefault="00FE2C0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42F68E" wp14:editId="6FF97755">
                  <wp:simplePos x="0" y="0"/>
                  <wp:positionH relativeFrom="column">
                    <wp:posOffset>3423285</wp:posOffset>
                  </wp:positionH>
                  <wp:positionV relativeFrom="paragraph">
                    <wp:posOffset>95885</wp:posOffset>
                  </wp:positionV>
                  <wp:extent cx="2472055" cy="3382010"/>
                  <wp:effectExtent l="0" t="0" r="4445" b="8890"/>
                  <wp:wrapNone/>
                  <wp:docPr id="3" name="图片 3" descr="E:\360安全云盘同步版\国标联合审核\202101\山东博琅教育科技有限公司\新建文件夹\扫描全能王 2021-03-01 09.3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山东博琅教育科技有限公司\新建文件夹\扫描全能王 2021-03-01 09.3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338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B8F53F3" wp14:editId="3494671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143510</wp:posOffset>
                  </wp:positionV>
                  <wp:extent cx="2448560" cy="3297555"/>
                  <wp:effectExtent l="0" t="0" r="8890" b="0"/>
                  <wp:wrapNone/>
                  <wp:docPr id="4" name="图片 4" descr="E:\360安全云盘同步版\国标联合审核\202101\山东博琅教育科技有限公司\新建文件夹\扫描全能王 2021-03-01 09.3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山东博琅教育科技有限公司\新建文件夹\扫描全能王 2021-03-01 09.3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329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8F0B25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F0B25" w:rsidRPr="00943DEE" w:rsidRDefault="008F0B25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2128D" w:rsidRPr="00943DEE" w:rsidTr="00B2213A">
        <w:trPr>
          <w:trHeight w:val="2110"/>
        </w:trPr>
        <w:tc>
          <w:tcPr>
            <w:tcW w:w="1413" w:type="dxa"/>
          </w:tcPr>
          <w:p w:rsidR="0082128D" w:rsidRPr="00943DEE" w:rsidRDefault="008208E4" w:rsidP="00B2213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</w:t>
            </w:r>
            <w:r w:rsidR="0082128D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纠正措施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</w:t>
            </w:r>
          </w:p>
          <w:p w:rsidR="0082128D" w:rsidRPr="00943DEE" w:rsidRDefault="0082128D" w:rsidP="00B2213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2F21BC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="002F21BC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4.5.3</w:t>
            </w:r>
          </w:p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:rsidR="0082128D" w:rsidRPr="00943DEE" w:rsidRDefault="0082128D" w:rsidP="00B2213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2128D" w:rsidRPr="00943DEE" w:rsidRDefault="0082128D" w:rsidP="0082128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642669" w:rsidRPr="00943DEE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43DEE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p w:rsidR="00642669" w:rsidRPr="00943DEE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42669" w:rsidRPr="00943DEE" w:rsidRDefault="00642669" w:rsidP="00E501D6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42669" w:rsidRPr="00943DEE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42669" w:rsidRPr="00943D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A6" w:rsidRDefault="002F5EA6">
      <w:r>
        <w:separator/>
      </w:r>
    </w:p>
  </w:endnote>
  <w:endnote w:type="continuationSeparator" w:id="0">
    <w:p w:rsidR="002F5EA6" w:rsidRDefault="002F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37F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37F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A6" w:rsidRDefault="002F5EA6">
      <w:r>
        <w:separator/>
      </w:r>
    </w:p>
  </w:footnote>
  <w:footnote w:type="continuationSeparator" w:id="0">
    <w:p w:rsidR="002F5EA6" w:rsidRDefault="002F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237F6"/>
    <w:rsid w:val="0003373A"/>
    <w:rsid w:val="00046911"/>
    <w:rsid w:val="000B10E8"/>
    <w:rsid w:val="000B14EA"/>
    <w:rsid w:val="000B2CCB"/>
    <w:rsid w:val="000B4982"/>
    <w:rsid w:val="000C0C7B"/>
    <w:rsid w:val="000C0E98"/>
    <w:rsid w:val="000C18EA"/>
    <w:rsid w:val="000C1EBD"/>
    <w:rsid w:val="000C2C4B"/>
    <w:rsid w:val="000D1392"/>
    <w:rsid w:val="000D19F5"/>
    <w:rsid w:val="000E0245"/>
    <w:rsid w:val="000E2500"/>
    <w:rsid w:val="000F5AD4"/>
    <w:rsid w:val="000F7C94"/>
    <w:rsid w:val="00102D94"/>
    <w:rsid w:val="0010623F"/>
    <w:rsid w:val="00110036"/>
    <w:rsid w:val="00121FD3"/>
    <w:rsid w:val="001237F1"/>
    <w:rsid w:val="00153C47"/>
    <w:rsid w:val="0017464A"/>
    <w:rsid w:val="001814A7"/>
    <w:rsid w:val="00192817"/>
    <w:rsid w:val="00194DCB"/>
    <w:rsid w:val="001A2D7F"/>
    <w:rsid w:val="001A7ADF"/>
    <w:rsid w:val="001D660E"/>
    <w:rsid w:val="001D79FC"/>
    <w:rsid w:val="001F00E3"/>
    <w:rsid w:val="001F3504"/>
    <w:rsid w:val="002302F5"/>
    <w:rsid w:val="00265FAF"/>
    <w:rsid w:val="00276FFB"/>
    <w:rsid w:val="002800D4"/>
    <w:rsid w:val="002B17DE"/>
    <w:rsid w:val="002C3D37"/>
    <w:rsid w:val="002E4951"/>
    <w:rsid w:val="002F21BC"/>
    <w:rsid w:val="002F5EA6"/>
    <w:rsid w:val="00300C8C"/>
    <w:rsid w:val="00315B62"/>
    <w:rsid w:val="00320F2D"/>
    <w:rsid w:val="00337922"/>
    <w:rsid w:val="00340867"/>
    <w:rsid w:val="003752D0"/>
    <w:rsid w:val="003769C0"/>
    <w:rsid w:val="00380837"/>
    <w:rsid w:val="00396DA3"/>
    <w:rsid w:val="00397E8C"/>
    <w:rsid w:val="003A1332"/>
    <w:rsid w:val="003A198A"/>
    <w:rsid w:val="003C0A6F"/>
    <w:rsid w:val="003D2FC2"/>
    <w:rsid w:val="003E7A24"/>
    <w:rsid w:val="003F24DD"/>
    <w:rsid w:val="00407223"/>
    <w:rsid w:val="0041025E"/>
    <w:rsid w:val="00410710"/>
    <w:rsid w:val="00410914"/>
    <w:rsid w:val="0041420E"/>
    <w:rsid w:val="004763D7"/>
    <w:rsid w:val="0048723A"/>
    <w:rsid w:val="004A7CDA"/>
    <w:rsid w:val="004B5E6C"/>
    <w:rsid w:val="004C0867"/>
    <w:rsid w:val="004D532C"/>
    <w:rsid w:val="004F7CC5"/>
    <w:rsid w:val="005030C2"/>
    <w:rsid w:val="00506C94"/>
    <w:rsid w:val="00507330"/>
    <w:rsid w:val="005135AE"/>
    <w:rsid w:val="005344AB"/>
    <w:rsid w:val="00536930"/>
    <w:rsid w:val="00540C2F"/>
    <w:rsid w:val="00552945"/>
    <w:rsid w:val="00564E53"/>
    <w:rsid w:val="00574BBB"/>
    <w:rsid w:val="00574C19"/>
    <w:rsid w:val="00577D79"/>
    <w:rsid w:val="00585E31"/>
    <w:rsid w:val="00595E10"/>
    <w:rsid w:val="0059619A"/>
    <w:rsid w:val="005A1DE1"/>
    <w:rsid w:val="00604CB8"/>
    <w:rsid w:val="00620A7D"/>
    <w:rsid w:val="0062528B"/>
    <w:rsid w:val="00642669"/>
    <w:rsid w:val="00644FE2"/>
    <w:rsid w:val="0064616B"/>
    <w:rsid w:val="006540AC"/>
    <w:rsid w:val="00656D05"/>
    <w:rsid w:val="0067640C"/>
    <w:rsid w:val="0068029C"/>
    <w:rsid w:val="006B46F9"/>
    <w:rsid w:val="006B5F12"/>
    <w:rsid w:val="006C77BA"/>
    <w:rsid w:val="006E678B"/>
    <w:rsid w:val="00705EF3"/>
    <w:rsid w:val="00706D06"/>
    <w:rsid w:val="007170F9"/>
    <w:rsid w:val="0073792D"/>
    <w:rsid w:val="00742422"/>
    <w:rsid w:val="00743D45"/>
    <w:rsid w:val="007517A7"/>
    <w:rsid w:val="007757F3"/>
    <w:rsid w:val="007B6AF1"/>
    <w:rsid w:val="007D7E51"/>
    <w:rsid w:val="007E6AEB"/>
    <w:rsid w:val="007F50DA"/>
    <w:rsid w:val="008029CD"/>
    <w:rsid w:val="008138D2"/>
    <w:rsid w:val="008208E4"/>
    <w:rsid w:val="0082128D"/>
    <w:rsid w:val="008238A5"/>
    <w:rsid w:val="00823C5D"/>
    <w:rsid w:val="0084257F"/>
    <w:rsid w:val="00854760"/>
    <w:rsid w:val="00856053"/>
    <w:rsid w:val="008973EE"/>
    <w:rsid w:val="008D6617"/>
    <w:rsid w:val="008D7CDA"/>
    <w:rsid w:val="008E4F9F"/>
    <w:rsid w:val="008F0B25"/>
    <w:rsid w:val="00902F4F"/>
    <w:rsid w:val="00916303"/>
    <w:rsid w:val="00926E86"/>
    <w:rsid w:val="00933515"/>
    <w:rsid w:val="00943DEE"/>
    <w:rsid w:val="00965FAA"/>
    <w:rsid w:val="0097041F"/>
    <w:rsid w:val="00971600"/>
    <w:rsid w:val="009775E0"/>
    <w:rsid w:val="00990718"/>
    <w:rsid w:val="00990AF0"/>
    <w:rsid w:val="009973B4"/>
    <w:rsid w:val="009A1262"/>
    <w:rsid w:val="009B3413"/>
    <w:rsid w:val="009C28C1"/>
    <w:rsid w:val="009D51B6"/>
    <w:rsid w:val="009D6233"/>
    <w:rsid w:val="009D6EE3"/>
    <w:rsid w:val="009E2E47"/>
    <w:rsid w:val="009F7EED"/>
    <w:rsid w:val="00A024F7"/>
    <w:rsid w:val="00A06DDE"/>
    <w:rsid w:val="00A15A24"/>
    <w:rsid w:val="00A222B7"/>
    <w:rsid w:val="00A3230F"/>
    <w:rsid w:val="00A5497B"/>
    <w:rsid w:val="00A85E4A"/>
    <w:rsid w:val="00A949C6"/>
    <w:rsid w:val="00AA543E"/>
    <w:rsid w:val="00AA65F7"/>
    <w:rsid w:val="00AB589E"/>
    <w:rsid w:val="00AF0AAB"/>
    <w:rsid w:val="00B04FE1"/>
    <w:rsid w:val="00B1444D"/>
    <w:rsid w:val="00B1555E"/>
    <w:rsid w:val="00B174FF"/>
    <w:rsid w:val="00B2213A"/>
    <w:rsid w:val="00B32417"/>
    <w:rsid w:val="00B3297E"/>
    <w:rsid w:val="00B412D1"/>
    <w:rsid w:val="00B56A39"/>
    <w:rsid w:val="00B644E7"/>
    <w:rsid w:val="00BF597E"/>
    <w:rsid w:val="00C02CD2"/>
    <w:rsid w:val="00C168E9"/>
    <w:rsid w:val="00C16C56"/>
    <w:rsid w:val="00C3543B"/>
    <w:rsid w:val="00C464BE"/>
    <w:rsid w:val="00C51A36"/>
    <w:rsid w:val="00C55228"/>
    <w:rsid w:val="00C73A1A"/>
    <w:rsid w:val="00CA1744"/>
    <w:rsid w:val="00CA6E86"/>
    <w:rsid w:val="00CD391A"/>
    <w:rsid w:val="00CE315A"/>
    <w:rsid w:val="00CE57A7"/>
    <w:rsid w:val="00D06F59"/>
    <w:rsid w:val="00D146E0"/>
    <w:rsid w:val="00D15125"/>
    <w:rsid w:val="00D23B9D"/>
    <w:rsid w:val="00D24A3F"/>
    <w:rsid w:val="00D30BB5"/>
    <w:rsid w:val="00D41F84"/>
    <w:rsid w:val="00D45F16"/>
    <w:rsid w:val="00D75283"/>
    <w:rsid w:val="00D76B89"/>
    <w:rsid w:val="00D8388C"/>
    <w:rsid w:val="00DB7598"/>
    <w:rsid w:val="00DC5764"/>
    <w:rsid w:val="00DD14C1"/>
    <w:rsid w:val="00DD7CF8"/>
    <w:rsid w:val="00DF3BDC"/>
    <w:rsid w:val="00E03B49"/>
    <w:rsid w:val="00E11A32"/>
    <w:rsid w:val="00E3018A"/>
    <w:rsid w:val="00E501D6"/>
    <w:rsid w:val="00E52A8D"/>
    <w:rsid w:val="00E620E7"/>
    <w:rsid w:val="00E70802"/>
    <w:rsid w:val="00E87595"/>
    <w:rsid w:val="00EB0164"/>
    <w:rsid w:val="00EC79C0"/>
    <w:rsid w:val="00ED0F62"/>
    <w:rsid w:val="00EE075C"/>
    <w:rsid w:val="00EF37E8"/>
    <w:rsid w:val="00F057E4"/>
    <w:rsid w:val="00F52380"/>
    <w:rsid w:val="00F66E27"/>
    <w:rsid w:val="00F7195A"/>
    <w:rsid w:val="00F72CD4"/>
    <w:rsid w:val="00FB1C70"/>
    <w:rsid w:val="00FD548A"/>
    <w:rsid w:val="00FD7FF8"/>
    <w:rsid w:val="00FE2C05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152</cp:revision>
  <dcterms:created xsi:type="dcterms:W3CDTF">2021-01-25T06:03:00Z</dcterms:created>
  <dcterms:modified xsi:type="dcterms:W3CDTF">2021-03-01T02:17:00Z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