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江西冉腾信息科技有限公司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Arial"/>
                <w:color w:val="FF0000"/>
                <w:spacing w:val="-6"/>
                <w:sz w:val="21"/>
                <w:szCs w:val="21"/>
                <w:lang w:val="en-US" w:eastAsia="zh-CN"/>
              </w:rPr>
              <w:t>建议对所采购产品和服务的环保要求、职业健康安全要求在合同中明确，满足全生命周期管控的要求，交流。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3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lenovo1018</cp:lastModifiedBy>
  <dcterms:modified xsi:type="dcterms:W3CDTF">2021-02-04T01:37:36Z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