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5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受审核部门：销售部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 xml:space="preserve"> 主管领导：邹高明     陪同人员：王小明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spacing w:before="120"/>
            </w:pPr>
            <w:r>
              <w:rPr>
                <w:rFonts w:hint="eastAsia"/>
                <w:sz w:val="24"/>
                <w:szCs w:val="24"/>
              </w:rPr>
              <w:t xml:space="preserve">审核员：褚敏杰、卢志强（专家）    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eastAsia"/>
                <w:sz w:val="24"/>
                <w:szCs w:val="24"/>
              </w:rPr>
              <w:t>审核时间：2021.2.4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004" w:type="dxa"/>
            <w:vAlign w:val="center"/>
          </w:tcPr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审核条款： </w:t>
            </w:r>
          </w:p>
          <w:p>
            <w:pPr>
              <w:spacing w:line="360" w:lineRule="auto"/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QMS:5.3组织的岗位、职责和权限、8.2产品和服务的要求、8.5.3顾客或外部供方的财产、9.1.2顾客满意、8.5.5交付后的活动</w:t>
            </w:r>
          </w:p>
          <w:p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E/OMS:5.3组织的岗位、职责和权限、6.1.2环境因素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/危险源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的辨识与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风险和机遇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评价、6.1.4措施的策划、8.1运行策划和控制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8.2应急准备和响应</w:t>
            </w:r>
          </w:p>
        </w:tc>
        <w:tc>
          <w:tcPr>
            <w:tcW w:w="1585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组织的岗位、职责和权限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QEO 5.3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销售部现有1人，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主要负责：市场调研开发，招投标、商务谈判及合同评审，顾客档案建立，售后服务及顾客满意度评价与分析，本部门环境因素和危险源识别和控制，本部门目标制定与实施，与相关方做好沟通等。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产品和服务的要求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介绍说，沟通方式主要是电话、资料传递、招投标会、交流会等形式宣传本公司有关产品。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针对合同洽谈、签订、履行过程中的问题，及时电话联系，明确各自的要求，执行合同。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目前沟通效果良好。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公司主要通过招标会、客户的走访、交流会等了解市场的需求状态。主要以招标文件、合同、电话等形式确定与产品有关的要求，均已保存或进行相应的记录。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销售部直接对顾客要求进行识别、确认，对于存在的问题直接提出和顾客进行交流沟通。然后组织人员评审，形成合同评审记录，经评审能满足要求后由总经理或其授权人签字并加盖企业公章，然后回传给顾客。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查见“顾客名单”，登记了公司的顾客和销售产品，抽见销售合同：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1）查2020.1.7日与江西卓尔金属设备集团有限公司合同，包括了如下内容：项目名称：江西卓尔金属设备集团有限公司专用办公软件（二），在合同中明确了标的内容、合作方式、开发进度及交付、费用结算、付款方式等要求，查合同评审记录表，2020.1.5日邹高明、王小明、周新建等评审，可以签订该合同，同日经周新建签字盖章后回传了顾客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2）查2020.2.8日与南京同致电子科技有限公司合同，包括了如下内容：项目名称：展厅动态环境管理与控制系统，在合同中明确了标的内容、合作方式、开发进度及软件交付、知识产权、费用结算、付款方式等要求，查合同评审记录表，2020.2.7日邹高明、王小明、周新建等评审，可以签订该合同，同日经周新建签字盖章后回传了顾客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3）再抽查2020.3.5日与镇江坤升智能科技有限公司合同，包括了如下内容：项目名称：展厅动态环境管理与控制系统，在合同中明确了标的内容、合作方式、开发进度及交付、知识产权、费用结算、付款方式等要求，查合同评审记录表，2020.3.4日邹高明、王小明、周新建等评审，可以签订该合同，同日经周新建签字盖章后回传了顾客。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保持“告各相关方的一封信”，与客户沟通环境保护和职业健康安全相关要求。</w:t>
            </w:r>
            <w:bookmarkStart w:id="0" w:name="_GoBack"/>
            <w:bookmarkEnd w:id="0"/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基本符合标准要求。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center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顾客或外部供方的财产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Q8.5.3</w:t>
            </w:r>
          </w:p>
        </w:tc>
        <w:tc>
          <w:tcPr>
            <w:tcW w:w="10004" w:type="dxa"/>
            <w:vAlign w:val="top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公司在管理手册中，规定了对顾客或外部供方财产的管理，明确了对顾客或外部供方财产的登记、验收、保护、使用等相关要求。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目前公司无外部供方的财产，涉及的顾客财产仅为顾客信息，公司对顾客相关信息做相关保密规定。</w:t>
            </w:r>
          </w:p>
          <w:p>
            <w:pPr>
              <w:spacing w:line="360" w:lineRule="auto"/>
              <w:ind w:firstLine="396" w:firstLineChars="200"/>
              <w:rPr>
                <w:rFonts w:hint="eastAsia" w:ascii="楷体" w:hAnsi="楷体" w:eastAsia="楷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顾客或外部供方的财产管理符合要求。</w:t>
            </w:r>
          </w:p>
        </w:tc>
        <w:tc>
          <w:tcPr>
            <w:tcW w:w="1585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交付后活动</w:t>
            </w:r>
          </w:p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Q8.5.5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396" w:firstLineChars="200"/>
              <w:rPr>
                <w:rFonts w:hint="eastAsia" w:ascii="楷体" w:hAnsi="楷体" w:eastAsia="楷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highlight w:val="none"/>
                <w:lang w:val="en-US" w:eastAsia="zh-CN"/>
              </w:rPr>
              <w:t>如客户在使用过程中出现问题，先通过电话进行解决，如远程无法解决，派专人到客户现场实地协调解决。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客户满意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 xml:space="preserve">Q9.1.2 </w:t>
            </w:r>
          </w:p>
        </w:tc>
        <w:tc>
          <w:tcPr>
            <w:tcW w:w="0" w:type="auto"/>
          </w:tcPr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公司保持“顾客满意度控制程序”，有效文件；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通过拜访、电话、电邮、问卷等形式，收集顾客反馈信息，监视顾客满意程度，评价体系的有效性，寻求体系改进的机会。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提供南京同致电子科技有限公司等三家客户的《顾客满意度调查记录表》，对顾客进行了满意度调查。调查包含：质量、交货期、服务、价格等指标。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查见2020.5.25日的《顾客满意度调查分析》，对顾客满意度指标完成情况、顾客建议改进方向等予以分析汇总，经评价测算客户满意度得分97分。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企业对顾客满意度的调查、分析利用进行了策划并实施，基本符合标准条款的要求。</w:t>
            </w:r>
          </w:p>
        </w:tc>
        <w:tc>
          <w:tcPr>
            <w:tcW w:w="0" w:type="auto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环境因素/危险源辨识与评价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EO6.1.2</w:t>
            </w:r>
          </w:p>
        </w:tc>
        <w:tc>
          <w:tcPr>
            <w:tcW w:w="0" w:type="auto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查有：《环境因素和危险源识别评价与控制程序》。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公司统一编制的“环境因素识别与评价表”，识别了办公场所的环境因素，包括生活垃圾的处置不当、废纸随意丢弃、废电池随意丢弃、纸张使用、能源消耗、废弃的日光灯管、火灾、消防等17项，2020年4月20日；打分法评价，基本合理。识别时考虑产品生命周期观点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查“重要环境因素清单”，重要环境因素：潜在火灾、触电、固废。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公司通过制定目标、管理方案、应急预案、日常检查与控制等方法，对环境因素进行控制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针对重要环境因素，制定有“环境管理目标、指标及其管理方案一览表”，明确了指标、方法、措施/技术手段、责任部门等；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公司统一编制“职业安全健康管理体系危险源辨识、风险评价、风险控制一览表”，辨识的危险源包括计算机运行、办公活动、系统集成、采购、运输等过程中的触电、火灾、摔伤、交通事故造成的人身伤害等18项；</w:t>
            </w:r>
          </w:p>
          <w:p>
            <w:pPr>
              <w:spacing w:line="360" w:lineRule="auto"/>
              <w:ind w:firstLine="420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公司通过制定目标、管理方案、应急预案、日常检查与控制等方法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进行控制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cs="Arial"/>
                <w:spacing w:val="-6"/>
                <w:sz w:val="21"/>
                <w:szCs w:val="21"/>
                <w:lang w:val="en-US" w:eastAsia="zh-CN"/>
              </w:rPr>
              <w:t>作业条件危险性评价法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评价，触电和火灾2项为不可接受风险；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  <w:t>查见“重大危险源清单”，明确了触电和火灾为重大危险源；针对重大危险源制订了“职业健康安全管理目标及方案”，明确了指标、方法、措施/技术手段、责任部门等。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部门识别和评价基本充分，符合规定要求。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0" w:type="auto"/>
            <w:vAlign w:val="center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运行策划和控制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宋体" w:hAnsi="宋体" w:cs="Arial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EO 8.1</w:t>
            </w:r>
          </w:p>
        </w:tc>
        <w:tc>
          <w:tcPr>
            <w:tcW w:w="0" w:type="auto"/>
          </w:tcPr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公司制定并实施了运行控制程序、废弃物控制程序、噪声控制程序、消防控制程序、资源能源控制程序、应急预案等环境与职业健康安全控制程序。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现场查看：</w:t>
            </w:r>
          </w:p>
          <w:p>
            <w:pPr>
              <w:spacing w:line="360" w:lineRule="auto"/>
              <w:ind w:firstLine="420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</w:rPr>
              <w:t>工作场所布局合理，</w:t>
            </w: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通风、采光良好，中央空调使用，温度合适；</w:t>
            </w:r>
            <w:r>
              <w:rPr>
                <w:rFonts w:hint="eastAsia" w:eastAsia="宋体" w:cs="宋体"/>
                <w:color w:val="auto"/>
                <w:kern w:val="2"/>
                <w:sz w:val="21"/>
                <w:szCs w:val="21"/>
              </w:rPr>
              <w:t>满足办公需求。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办公室有垃圾桶，办公过程产生的垃圾统一收集，用友办公大楼物业统一处理；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介绍说办公用废弃硒鼓行政部收集，由供应商回收，以旧换新；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按公司要求人走关灯，行政部电脑要求人走后电源切断；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节约用水、纸张双面使用；中央空调，物业统一设置温度；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办公区域配备了消防烟感喷淋系统和灭火器，由物业统一管理；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走道配置有应急灯、安全出口指示标识；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办公室内主要是电的使用，现场查看电路、电源正常，无乱拉乱接电线、使用超额电气等现象；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办公室无明显噪声和异味，无废气排放；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生活废水经市政管网排放。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公司保持“劳动防护用品控制程序”，有效文件，无变化；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介绍说，公司在疫情期间给员工配发了口罩，但未保留发放记录，交流；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部门运行控制能结合产品生命周期方法，基本符合策划要求。</w:t>
            </w:r>
          </w:p>
        </w:tc>
        <w:tc>
          <w:tcPr>
            <w:tcW w:w="0" w:type="auto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应急准备和响应</w:t>
            </w:r>
          </w:p>
        </w:tc>
        <w:tc>
          <w:tcPr>
            <w:tcW w:w="0" w:type="auto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ES: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8.2</w:t>
            </w:r>
          </w:p>
        </w:tc>
        <w:tc>
          <w:tcPr>
            <w:tcW w:w="0" w:type="auto"/>
            <w:vAlign w:val="top"/>
          </w:tcPr>
          <w:p>
            <w:pPr>
              <w:spacing w:line="360" w:lineRule="auto"/>
              <w:ind w:firstLine="396" w:firstLineChars="200"/>
              <w:rPr>
                <w:rFonts w:hint="default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公司保持JXRT-CX14-2020应急准备和响应控制程序，内容无变化；</w:t>
            </w:r>
          </w:p>
          <w:p>
            <w:pPr>
              <w:spacing w:line="360" w:lineRule="auto"/>
              <w:ind w:firstLine="396" w:firstLineChars="200"/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公司编制有火灾、触电事故2个应急预案；</w:t>
            </w:r>
          </w:p>
          <w:p>
            <w:pPr>
              <w:spacing w:line="360" w:lineRule="auto"/>
              <w:ind w:firstLine="396" w:firstLineChars="200"/>
              <w:rPr>
                <w:rFonts w:hint="default" w:ascii="宋体" w:hAnsi="宋体" w:eastAsia="宋体" w:cs="Arial"/>
                <w:color w:val="auto"/>
                <w:spacing w:val="-6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Arial"/>
                <w:color w:val="auto"/>
                <w:spacing w:val="-6"/>
                <w:sz w:val="21"/>
                <w:szCs w:val="21"/>
                <w:lang w:val="en-US" w:eastAsia="zh-CN"/>
              </w:rPr>
              <w:t>本部门参与行政部组织的应急演练，具体见行政部审核记录。</w:t>
            </w:r>
          </w:p>
        </w:tc>
        <w:tc>
          <w:tcPr>
            <w:tcW w:w="0" w:type="auto"/>
            <w:vAlign w:val="top"/>
          </w:tcPr>
          <w:p>
            <w:pPr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0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ISC-B-II-1</w:t>
                          </w:r>
                          <w:r>
                            <w:rPr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 xml:space="preserve"> 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8240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Qaq5dYAAAAKAQAADwAA&#10;AAAAAAABACAAAAAiAAAAZHJzL2Rvd25yZXYueG1sUEsBAhQAFAAAAAgAh07iQKAm76SmAQAAKQMA&#10;AA4AAAAAAAAAAQAgAAAAJQEAAGRycy9lMm9Eb2MueG1sUEsFBgAAAAAGAAYAWQEAAD0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ISC-B-II-1</w:t>
                    </w:r>
                    <w:r>
                      <w:rPr>
                        <w:sz w:val="18"/>
                        <w:szCs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 xml:space="preserve"> 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0"/>
        <w:rFonts w:hint="default"/>
      </w:rPr>
      <w:t xml:space="preserve">        </w:t>
    </w:r>
    <w:r>
      <w:rPr>
        <w:rStyle w:val="10"/>
        <w:rFonts w:hint="default"/>
        <w:w w:val="90"/>
      </w:rPr>
      <w:t>Beijing International Standard united Certification Co.,Ltd.</w:t>
    </w:r>
    <w:r>
      <w:rPr>
        <w:rStyle w:val="10"/>
        <w:rFonts w:hint="default"/>
        <w:w w:val="90"/>
        <w:szCs w:val="21"/>
      </w:rPr>
      <w:t xml:space="preserve">  </w:t>
    </w:r>
    <w:r>
      <w:rPr>
        <w:rStyle w:val="10"/>
        <w:rFonts w:hint="default"/>
        <w:w w:val="90"/>
        <w:sz w:val="20"/>
      </w:rPr>
      <w:t xml:space="preserve"> </w:t>
    </w:r>
    <w:r>
      <w:rPr>
        <w:rStyle w:val="10"/>
        <w:rFonts w:hint="default"/>
        <w:w w:val="90"/>
      </w:rPr>
      <w:t xml:space="preserve">                   </w:t>
    </w:r>
  </w:p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6F458F"/>
    <w:rsid w:val="530E17D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130</Characters>
  <Lines>1</Lines>
  <Paragraphs>1</Paragraphs>
  <TotalTime>8</TotalTime>
  <ScaleCrop>false</ScaleCrop>
  <LinksUpToDate>false</LinksUpToDate>
  <CharactersWithSpaces>151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lenovo1018</cp:lastModifiedBy>
  <dcterms:modified xsi:type="dcterms:W3CDTF">2021-02-03T08:28:24Z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