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961"/>
        <w:gridCol w:w="1140"/>
        <w:gridCol w:w="1995"/>
        <w:gridCol w:w="1290"/>
        <w:gridCol w:w="2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121"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江西冉腾信息科技有限公司</w:t>
            </w:r>
            <w:bookmarkEnd w:id="4"/>
          </w:p>
        </w:tc>
        <w:tc>
          <w:tcPr>
            <w:tcW w:w="129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013"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Q：33.02.01;33.02.02</w:t>
            </w:r>
          </w:p>
          <w:p>
            <w:pPr>
              <w:snapToGrid w:val="0"/>
              <w:spacing w:line="280" w:lineRule="exact"/>
              <w:ind w:left="52"/>
              <w:jc w:val="center"/>
              <w:rPr>
                <w:b/>
                <w:sz w:val="20"/>
              </w:rPr>
            </w:pPr>
            <w:r>
              <w:rPr>
                <w:b/>
                <w:sz w:val="20"/>
              </w:rPr>
              <w:t>E：33.02.01;33.02.02</w:t>
            </w:r>
          </w:p>
          <w:p>
            <w:pPr>
              <w:snapToGrid w:val="0"/>
              <w:spacing w:line="280" w:lineRule="exact"/>
              <w:ind w:left="52"/>
              <w:jc w:val="center"/>
              <w:rPr>
                <w:b/>
                <w:sz w:val="20"/>
              </w:rPr>
            </w:pPr>
            <w:r>
              <w:rPr>
                <w:b/>
                <w:sz w:val="20"/>
              </w:rPr>
              <w:t>O：33.02.01;33.02.02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1986"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卢志强</w:t>
            </w:r>
          </w:p>
        </w:tc>
        <w:tc>
          <w:tcPr>
            <w:tcW w:w="1140" w:type="dxa"/>
            <w:vAlign w:val="center"/>
          </w:tcPr>
          <w:p>
            <w:pPr>
              <w:snapToGrid w:val="0"/>
              <w:spacing w:line="280" w:lineRule="exact"/>
              <w:jc w:val="center"/>
              <w:rPr>
                <w:b/>
                <w:sz w:val="22"/>
                <w:szCs w:val="22"/>
              </w:rPr>
            </w:pPr>
            <w:r>
              <w:rPr>
                <w:rFonts w:hint="eastAsia"/>
                <w:b/>
                <w:sz w:val="22"/>
                <w:szCs w:val="22"/>
              </w:rPr>
              <w:t>专业</w:t>
            </w:r>
          </w:p>
        </w:tc>
        <w:tc>
          <w:tcPr>
            <w:tcW w:w="1995" w:type="dxa"/>
            <w:vAlign w:val="center"/>
          </w:tcPr>
          <w:p>
            <w:pPr>
              <w:snapToGrid w:val="0"/>
              <w:spacing w:line="280" w:lineRule="exact"/>
              <w:jc w:val="center"/>
              <w:rPr>
                <w:rFonts w:hint="eastAsia"/>
                <w:b/>
                <w:sz w:val="20"/>
              </w:rPr>
            </w:pPr>
            <w:r>
              <w:rPr>
                <w:rFonts w:hint="eastAsia"/>
                <w:b/>
                <w:sz w:val="20"/>
              </w:rPr>
              <w:t>Q:33.02.01,33.02.02</w:t>
            </w:r>
          </w:p>
          <w:p>
            <w:pPr>
              <w:snapToGrid w:val="0"/>
              <w:spacing w:line="280" w:lineRule="exact"/>
              <w:jc w:val="center"/>
              <w:rPr>
                <w:rFonts w:hint="eastAsia"/>
                <w:b/>
                <w:sz w:val="20"/>
              </w:rPr>
            </w:pPr>
            <w:r>
              <w:rPr>
                <w:rFonts w:hint="eastAsia"/>
                <w:b/>
                <w:sz w:val="20"/>
              </w:rPr>
              <w:t>E:33.02.01,33.02.02</w:t>
            </w:r>
          </w:p>
          <w:p>
            <w:pPr>
              <w:snapToGrid w:val="0"/>
              <w:spacing w:line="280" w:lineRule="exact"/>
              <w:jc w:val="center"/>
              <w:rPr>
                <w:b/>
                <w:sz w:val="20"/>
              </w:rPr>
            </w:pPr>
            <w:r>
              <w:rPr>
                <w:rFonts w:hint="eastAsia"/>
                <w:b/>
                <w:sz w:val="20"/>
              </w:rPr>
              <w:t>O:33.02.01,33.02.02</w:t>
            </w:r>
          </w:p>
        </w:tc>
        <w:tc>
          <w:tcPr>
            <w:tcW w:w="1290" w:type="dxa"/>
            <w:vAlign w:val="center"/>
          </w:tcPr>
          <w:p>
            <w:pPr>
              <w:snapToGrid w:val="0"/>
              <w:spacing w:line="280" w:lineRule="exact"/>
              <w:jc w:val="center"/>
              <w:rPr>
                <w:b/>
                <w:sz w:val="22"/>
                <w:szCs w:val="22"/>
              </w:rPr>
            </w:pPr>
            <w:r>
              <w:rPr>
                <w:rFonts w:hint="eastAsia"/>
                <w:b/>
                <w:sz w:val="22"/>
                <w:szCs w:val="22"/>
              </w:rPr>
              <w:t>培训地点</w:t>
            </w:r>
          </w:p>
        </w:tc>
        <w:tc>
          <w:tcPr>
            <w:tcW w:w="2013"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褚敏杰</w:t>
            </w:r>
          </w:p>
        </w:tc>
        <w:tc>
          <w:tcPr>
            <w:tcW w:w="961" w:type="dxa"/>
            <w:vAlign w:val="center"/>
          </w:tcPr>
          <w:p>
            <w:pPr>
              <w:snapToGrid w:val="0"/>
              <w:spacing w:line="360" w:lineRule="exact"/>
              <w:jc w:val="center"/>
              <w:rPr>
                <w:b/>
                <w:sz w:val="20"/>
              </w:rPr>
            </w:pPr>
          </w:p>
        </w:tc>
        <w:tc>
          <w:tcPr>
            <w:tcW w:w="1140" w:type="dxa"/>
            <w:vAlign w:val="center"/>
          </w:tcPr>
          <w:p>
            <w:pPr>
              <w:snapToGrid w:val="0"/>
              <w:spacing w:line="360" w:lineRule="exact"/>
              <w:jc w:val="center"/>
              <w:rPr>
                <w:b/>
                <w:sz w:val="20"/>
              </w:rPr>
            </w:pPr>
          </w:p>
        </w:tc>
        <w:tc>
          <w:tcPr>
            <w:tcW w:w="199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201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p>
        </w:tc>
        <w:tc>
          <w:tcPr>
            <w:tcW w:w="961" w:type="dxa"/>
            <w:vAlign w:val="center"/>
          </w:tcPr>
          <w:p>
            <w:pPr>
              <w:snapToGrid w:val="0"/>
              <w:spacing w:line="360" w:lineRule="exact"/>
              <w:jc w:val="center"/>
              <w:rPr>
                <w:b/>
                <w:sz w:val="20"/>
              </w:rPr>
            </w:pPr>
          </w:p>
        </w:tc>
        <w:tc>
          <w:tcPr>
            <w:tcW w:w="1140" w:type="dxa"/>
            <w:vAlign w:val="center"/>
          </w:tcPr>
          <w:p>
            <w:pPr>
              <w:snapToGrid w:val="0"/>
              <w:spacing w:line="360" w:lineRule="exact"/>
              <w:jc w:val="center"/>
              <w:rPr>
                <w:b/>
                <w:sz w:val="20"/>
              </w:rPr>
            </w:pPr>
          </w:p>
        </w:tc>
        <w:tc>
          <w:tcPr>
            <w:tcW w:w="199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201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val="0"/>
                <w:bCs/>
                <w:sz w:val="20"/>
              </w:rPr>
            </w:pPr>
            <w:r>
              <w:rPr>
                <w:rFonts w:hint="eastAsia"/>
                <w:b w:val="0"/>
                <w:bCs/>
                <w:sz w:val="20"/>
              </w:rPr>
              <w:t>顾目接收一实地调查一初步设计一详细设计一测试一安装调试试运行一交付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重点控制设计开发过程</w:t>
            </w:r>
            <w:r>
              <w:rPr>
                <w:rFonts w:hint="eastAsia"/>
                <w:b w:val="0"/>
                <w:bCs/>
                <w:sz w:val="20"/>
                <w:lang w:val="en-US" w:eastAsia="zh-CN"/>
              </w:rPr>
              <w:t>，</w:t>
            </w:r>
            <w:r>
              <w:rPr>
                <w:rFonts w:hint="eastAsia"/>
                <w:b w:val="0"/>
                <w:bCs/>
                <w:sz w:val="20"/>
              </w:rPr>
              <w:t>根据客户需要进行设计开发，具备专业知识。</w:t>
            </w:r>
          </w:p>
          <w:p>
            <w:pPr>
              <w:snapToGrid w:val="0"/>
              <w:spacing w:line="280" w:lineRule="exact"/>
              <w:jc w:val="left"/>
              <w:rPr>
                <w:rFonts w:hint="eastAsia" w:eastAsia="宋体"/>
                <w:b w:val="0"/>
                <w:bCs/>
                <w:sz w:val="20"/>
                <w:lang w:val="en-US" w:eastAsia="zh-CN"/>
              </w:rPr>
            </w:pPr>
            <w:r>
              <w:rPr>
                <w:rFonts w:hint="eastAsia"/>
                <w:b w:val="0"/>
                <w:bCs/>
                <w:sz w:val="20"/>
                <w:lang w:val="en-US" w:eastAsia="zh-CN"/>
              </w:rPr>
              <w:t>无特殊过程。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重大环境因素：火灾，固废排放；</w:t>
            </w:r>
          </w:p>
          <w:p>
            <w:pPr>
              <w:snapToGrid w:val="0"/>
              <w:spacing w:line="280" w:lineRule="exact"/>
              <w:jc w:val="left"/>
              <w:rPr>
                <w:rFonts w:hint="eastAsia"/>
                <w:b w:val="0"/>
                <w:bCs/>
                <w:sz w:val="20"/>
              </w:rPr>
            </w:pPr>
            <w:r>
              <w:rPr>
                <w:rFonts w:hint="eastAsia"/>
                <w:b w:val="0"/>
                <w:bCs/>
                <w:sz w:val="20"/>
              </w:rPr>
              <w:t>控制措施：</w:t>
            </w:r>
          </w:p>
          <w:p>
            <w:pPr>
              <w:snapToGrid w:val="0"/>
              <w:spacing w:line="280" w:lineRule="exact"/>
              <w:jc w:val="left"/>
              <w:rPr>
                <w:b w:val="0"/>
                <w:bCs/>
                <w:sz w:val="20"/>
              </w:rPr>
            </w:pPr>
            <w:r>
              <w:rPr>
                <w:rFonts w:hint="eastAsia"/>
                <w:b w:val="0"/>
                <w:bCs/>
                <w:sz w:val="20"/>
              </w:rPr>
              <w:t>集中收集外售至废品回收站；提高安全意识；做好火灾预防措施。一旦发生按相关应急预案执行；制定目标、指标；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重大危险源：触电、火灾；</w:t>
            </w:r>
          </w:p>
          <w:p>
            <w:pPr>
              <w:snapToGrid w:val="0"/>
              <w:spacing w:line="280" w:lineRule="exact"/>
              <w:jc w:val="left"/>
              <w:rPr>
                <w:rFonts w:hint="eastAsia"/>
                <w:b w:val="0"/>
                <w:bCs/>
                <w:sz w:val="20"/>
              </w:rPr>
            </w:pPr>
            <w:r>
              <w:rPr>
                <w:rFonts w:hint="eastAsia"/>
                <w:b w:val="0"/>
                <w:bCs/>
                <w:sz w:val="20"/>
              </w:rPr>
              <w:t>控制措施：</w:t>
            </w:r>
          </w:p>
          <w:p>
            <w:pPr>
              <w:snapToGrid w:val="0"/>
              <w:spacing w:line="280" w:lineRule="exact"/>
              <w:jc w:val="left"/>
              <w:rPr>
                <w:b/>
                <w:sz w:val="20"/>
              </w:rPr>
            </w:pPr>
            <w:r>
              <w:rPr>
                <w:rFonts w:hint="eastAsia"/>
                <w:b w:val="0"/>
                <w:bCs/>
                <w:sz w:val="20"/>
              </w:rPr>
              <w:t>目标指标和管理方案、管理规定、运行控制、应急预案、检查控制、教育培训。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中华人民共和国产品质量法、标准化法、环保法、安全生产法，</w:t>
            </w:r>
          </w:p>
          <w:p>
            <w:pPr>
              <w:snapToGrid w:val="0"/>
              <w:spacing w:line="280" w:lineRule="exact"/>
              <w:jc w:val="left"/>
              <w:rPr>
                <w:rFonts w:hint="eastAsia"/>
                <w:b w:val="0"/>
                <w:bCs/>
                <w:sz w:val="20"/>
              </w:rPr>
            </w:pPr>
            <w:r>
              <w:rPr>
                <w:rFonts w:hint="eastAsia"/>
                <w:b w:val="0"/>
                <w:bCs/>
                <w:sz w:val="20"/>
              </w:rPr>
              <w:t>GA 308 2001 安全防范系统验收规则</w:t>
            </w:r>
          </w:p>
          <w:p>
            <w:pPr>
              <w:snapToGrid w:val="0"/>
              <w:spacing w:line="280" w:lineRule="exact"/>
              <w:jc w:val="left"/>
              <w:rPr>
                <w:rFonts w:hint="eastAsia"/>
                <w:b w:val="0"/>
                <w:bCs/>
                <w:sz w:val="20"/>
              </w:rPr>
            </w:pPr>
            <w:r>
              <w:rPr>
                <w:rFonts w:hint="eastAsia"/>
                <w:b w:val="0"/>
                <w:bCs/>
                <w:sz w:val="20"/>
              </w:rPr>
              <w:t>GB/T 368 2001 入侵报警系统技术要求</w:t>
            </w:r>
          </w:p>
          <w:p>
            <w:pPr>
              <w:snapToGrid w:val="0"/>
              <w:spacing w:line="280" w:lineRule="exact"/>
              <w:jc w:val="left"/>
              <w:rPr>
                <w:rFonts w:hint="eastAsia"/>
                <w:b w:val="0"/>
                <w:bCs/>
                <w:sz w:val="20"/>
              </w:rPr>
            </w:pPr>
            <w:r>
              <w:rPr>
                <w:rFonts w:hint="eastAsia"/>
                <w:b w:val="0"/>
                <w:bCs/>
                <w:sz w:val="20"/>
              </w:rPr>
              <w:t>GB 50116 2013 火灾自动报警系统设计规范</w:t>
            </w:r>
          </w:p>
          <w:p>
            <w:pPr>
              <w:snapToGrid w:val="0"/>
              <w:spacing w:line="280" w:lineRule="exact"/>
              <w:jc w:val="left"/>
              <w:rPr>
                <w:rFonts w:hint="eastAsia"/>
                <w:b w:val="0"/>
                <w:bCs/>
                <w:sz w:val="20"/>
              </w:rPr>
            </w:pPr>
            <w:r>
              <w:rPr>
                <w:rFonts w:hint="eastAsia"/>
                <w:b w:val="0"/>
                <w:bCs/>
                <w:sz w:val="20"/>
              </w:rPr>
              <w:t>GB 50303 2015 建筑电气工程施工质量验收规范</w:t>
            </w:r>
          </w:p>
          <w:p>
            <w:pPr>
              <w:snapToGrid w:val="0"/>
              <w:spacing w:line="280" w:lineRule="exact"/>
              <w:jc w:val="left"/>
              <w:rPr>
                <w:rFonts w:hint="eastAsia"/>
                <w:b w:val="0"/>
                <w:bCs/>
                <w:sz w:val="20"/>
              </w:rPr>
            </w:pPr>
            <w:r>
              <w:rPr>
                <w:rFonts w:hint="eastAsia"/>
                <w:b w:val="0"/>
                <w:bCs/>
                <w:sz w:val="20"/>
              </w:rPr>
              <w:t>GB 50314 2015 智能建筑设计标准</w:t>
            </w:r>
          </w:p>
          <w:p>
            <w:pPr>
              <w:snapToGrid w:val="0"/>
              <w:spacing w:line="280" w:lineRule="exact"/>
              <w:jc w:val="left"/>
              <w:rPr>
                <w:rFonts w:hint="eastAsia"/>
                <w:b w:val="0"/>
                <w:bCs/>
                <w:sz w:val="20"/>
              </w:rPr>
            </w:pPr>
            <w:r>
              <w:rPr>
                <w:rFonts w:hint="eastAsia"/>
                <w:b w:val="0"/>
                <w:bCs/>
                <w:sz w:val="20"/>
              </w:rPr>
              <w:t>GB 50343 2012 建筑物电子信息系统防雷技术规范</w:t>
            </w:r>
          </w:p>
          <w:p>
            <w:pPr>
              <w:snapToGrid w:val="0"/>
              <w:spacing w:line="280" w:lineRule="exact"/>
              <w:jc w:val="left"/>
              <w:rPr>
                <w:rFonts w:hint="eastAsia"/>
                <w:b w:val="0"/>
                <w:bCs/>
                <w:sz w:val="20"/>
              </w:rPr>
            </w:pPr>
            <w:r>
              <w:rPr>
                <w:rFonts w:hint="eastAsia"/>
                <w:b w:val="0"/>
                <w:bCs/>
                <w:sz w:val="20"/>
              </w:rPr>
              <w:t>GB 50395 2007 视频安防监控系统工程设计规范</w:t>
            </w:r>
          </w:p>
          <w:p>
            <w:pPr>
              <w:snapToGrid w:val="0"/>
              <w:spacing w:line="280" w:lineRule="exact"/>
              <w:jc w:val="left"/>
              <w:rPr>
                <w:rFonts w:hint="eastAsia"/>
                <w:b w:val="0"/>
                <w:bCs/>
                <w:sz w:val="20"/>
              </w:rPr>
            </w:pPr>
            <w:r>
              <w:rPr>
                <w:rFonts w:hint="eastAsia"/>
                <w:b w:val="0"/>
                <w:bCs/>
                <w:sz w:val="20"/>
              </w:rPr>
              <w:t xml:space="preserve">GB 50396 2007 出入口控制系统工程设计规范 含条文说明 </w:t>
            </w:r>
          </w:p>
          <w:p>
            <w:pPr>
              <w:snapToGrid w:val="0"/>
              <w:spacing w:line="280" w:lineRule="exact"/>
              <w:jc w:val="left"/>
              <w:rPr>
                <w:rFonts w:hint="eastAsia"/>
                <w:b w:val="0"/>
                <w:bCs/>
                <w:sz w:val="20"/>
              </w:rPr>
            </w:pPr>
            <w:r>
              <w:rPr>
                <w:rFonts w:hint="eastAsia"/>
                <w:b w:val="0"/>
                <w:bCs/>
                <w:sz w:val="20"/>
              </w:rPr>
              <w:t>GBJ 115 1987 工业电视系统工程设计规范 、</w:t>
            </w:r>
          </w:p>
          <w:p>
            <w:pPr>
              <w:snapToGrid w:val="0"/>
              <w:spacing w:line="280" w:lineRule="exact"/>
              <w:jc w:val="left"/>
              <w:rPr>
                <w:rFonts w:hint="eastAsia"/>
                <w:b w:val="0"/>
                <w:bCs/>
                <w:sz w:val="20"/>
              </w:rPr>
            </w:pPr>
            <w:r>
              <w:rPr>
                <w:rFonts w:hint="eastAsia"/>
                <w:b w:val="0"/>
                <w:bCs/>
                <w:sz w:val="20"/>
              </w:rPr>
              <w:t xml:space="preserve">GBT 2887 2011 电子计算机场地通用技术规范 </w:t>
            </w:r>
          </w:p>
          <w:p>
            <w:pPr>
              <w:snapToGrid w:val="0"/>
              <w:spacing w:line="280" w:lineRule="exact"/>
              <w:jc w:val="left"/>
              <w:rPr>
                <w:rFonts w:hint="eastAsia"/>
                <w:b w:val="0"/>
                <w:bCs/>
                <w:sz w:val="20"/>
              </w:rPr>
            </w:pPr>
            <w:r>
              <w:rPr>
                <w:rFonts w:hint="eastAsia"/>
                <w:b w:val="0"/>
                <w:bCs/>
                <w:sz w:val="20"/>
              </w:rPr>
              <w:t>GB/T 15212 1994 广播及类似声系统用连接器的应用</w:t>
            </w:r>
          </w:p>
          <w:p>
            <w:pPr>
              <w:snapToGrid w:val="0"/>
              <w:spacing w:line="280" w:lineRule="exact"/>
              <w:jc w:val="left"/>
              <w:rPr>
                <w:rFonts w:hint="eastAsia"/>
                <w:b w:val="0"/>
                <w:bCs/>
                <w:sz w:val="20"/>
              </w:rPr>
            </w:pPr>
            <w:r>
              <w:rPr>
                <w:rFonts w:hint="eastAsia"/>
                <w:b w:val="0"/>
                <w:bCs/>
                <w:sz w:val="20"/>
              </w:rPr>
              <w:t>GB 50169 2016 电气装置安装工程 接地装置施工及验收规范</w:t>
            </w:r>
          </w:p>
          <w:p>
            <w:pPr>
              <w:snapToGrid w:val="0"/>
              <w:spacing w:line="280" w:lineRule="exact"/>
              <w:jc w:val="left"/>
              <w:rPr>
                <w:rFonts w:hint="eastAsia"/>
                <w:b w:val="0"/>
                <w:bCs/>
                <w:sz w:val="20"/>
              </w:rPr>
            </w:pPr>
            <w:r>
              <w:rPr>
                <w:rFonts w:hint="eastAsia"/>
                <w:b w:val="0"/>
                <w:bCs/>
                <w:sz w:val="20"/>
              </w:rPr>
              <w:t>GB/T 50312 2016 建筑与建筑群综合布线系统工程验收规范</w:t>
            </w:r>
          </w:p>
          <w:p>
            <w:pPr>
              <w:snapToGrid w:val="0"/>
              <w:spacing w:line="280" w:lineRule="exact"/>
              <w:jc w:val="left"/>
              <w:rPr>
                <w:rFonts w:hint="eastAsia"/>
                <w:b w:val="0"/>
                <w:bCs/>
                <w:sz w:val="20"/>
              </w:rPr>
            </w:pPr>
            <w:r>
              <w:rPr>
                <w:rFonts w:hint="eastAsia"/>
                <w:b w:val="0"/>
                <w:bCs/>
                <w:sz w:val="20"/>
              </w:rPr>
              <w:t>GB/T367 2001 视频安防监控系统技术要求</w:t>
            </w:r>
          </w:p>
          <w:p>
            <w:pPr>
              <w:snapToGrid w:val="0"/>
              <w:spacing w:line="280" w:lineRule="exact"/>
              <w:jc w:val="left"/>
              <w:rPr>
                <w:b/>
                <w:sz w:val="20"/>
              </w:rPr>
            </w:pPr>
            <w:r>
              <w:rPr>
                <w:rFonts w:hint="eastAsia"/>
                <w:b w:val="0"/>
                <w:bCs/>
                <w:sz w:val="20"/>
              </w:rPr>
              <w:t>GYT 106 1999 有线电视广播系统技术规范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b/>
                <w:sz w:val="20"/>
              </w:rPr>
            </w:pPr>
            <w:bookmarkStart w:id="6" w:name="_GoBack"/>
            <w:bookmarkEnd w:id="6"/>
            <w:r>
              <w:rPr>
                <w:rFonts w:hint="eastAsia"/>
                <w:b w:val="0"/>
                <w:bCs/>
                <w:sz w:val="20"/>
              </w:rPr>
              <w:t>检验外观、性能。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b/>
                <w:sz w:val="20"/>
              </w:rPr>
            </w:pPr>
            <w:r>
              <w:rPr>
                <w:rFonts w:ascii="宋体"/>
                <w:b/>
                <w:sz w:val="18"/>
                <w:szCs w:val="18"/>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173990</wp:posOffset>
                  </wp:positionV>
                  <wp:extent cx="779145" cy="469900"/>
                  <wp:effectExtent l="0" t="0" r="1905" b="635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79145" cy="469900"/>
                          </a:xfrm>
                          <a:prstGeom prst="rect">
                            <a:avLst/>
                          </a:prstGeom>
                        </pic:spPr>
                      </pic:pic>
                    </a:graphicData>
                  </a:graphic>
                </wp:anchor>
              </w:drawing>
            </w:r>
            <w:r>
              <w:rPr>
                <w:rFonts w:ascii="宋体"/>
                <w:b/>
                <w:sz w:val="18"/>
                <w:szCs w:val="18"/>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755650" cy="584835"/>
                  <wp:effectExtent l="0" t="0" r="6350" b="5080"/>
                  <wp:wrapNone/>
                  <wp:docPr id="1" name="图片 1" descr="签名-卢志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卢志强"/>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55650" cy="584835"/>
                          </a:xfrm>
                          <a:prstGeom prst="rect">
                            <a:avLst/>
                          </a:prstGeom>
                        </pic:spPr>
                      </pic:pic>
                    </a:graphicData>
                  </a:graphic>
                </wp:anchor>
              </w:drawing>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ascii="宋体"/>
          <w:b/>
          <w:sz w:val="18"/>
          <w:szCs w:val="18"/>
          <w:lang w:val="en-US" w:eastAsia="zh-CN"/>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2021.2.1</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2021.2.1</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E137F"/>
    <w:rsid w:val="59626D20"/>
    <w:rsid w:val="7CB2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32</TotalTime>
  <ScaleCrop>false</ScaleCrop>
  <LinksUpToDate>false</LinksUpToDate>
  <CharactersWithSpaces>312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lenovo1018</cp:lastModifiedBy>
  <dcterms:modified xsi:type="dcterms:W3CDTF">2021-02-04T01:47:17Z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