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褚敏杰</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2018-N1QMS-2068076</w:t>
            </w:r>
          </w:p>
          <w:p>
            <w:pPr>
              <w:jc w:val="center"/>
              <w:rPr>
                <w:b/>
                <w:sz w:val="21"/>
                <w:szCs w:val="21"/>
              </w:rPr>
            </w:pPr>
            <w:r>
              <w:rPr>
                <w:b/>
                <w:sz w:val="21"/>
                <w:szCs w:val="21"/>
              </w:rPr>
              <w:t>2018-N1EMS-2068076</w:t>
            </w:r>
          </w:p>
          <w:p>
            <w:pPr>
              <w:jc w:val="center"/>
              <w:rPr>
                <w:b/>
                <w:sz w:val="21"/>
                <w:szCs w:val="21"/>
              </w:rPr>
            </w:pPr>
            <w:r>
              <w:rPr>
                <w:b/>
                <w:sz w:val="21"/>
                <w:szCs w:val="21"/>
              </w:rPr>
              <w:t>2019-N1OHSMS-2068076</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ISC-68076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rFonts w:hint="eastAsia" w:eastAsia="宋体"/>
                <w:b/>
                <w:sz w:val="21"/>
                <w:szCs w:val="21"/>
                <w:lang w:eastAsia="zh-CN"/>
              </w:rPr>
            </w:pPr>
            <w:r>
              <w:rPr>
                <w:rFonts w:hint="eastAsia"/>
                <w:b/>
                <w:sz w:val="21"/>
                <w:szCs w:val="21"/>
                <w:lang w:val="en-US" w:eastAsia="zh-CN"/>
              </w:rPr>
              <w:t>杨梅</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Q:专家</w:t>
            </w:r>
          </w:p>
          <w:p>
            <w:pPr>
              <w:jc w:val="center"/>
              <w:rPr>
                <w:b/>
                <w:sz w:val="21"/>
                <w:szCs w:val="21"/>
              </w:rPr>
            </w:pPr>
            <w:r>
              <w:rPr>
                <w:b/>
                <w:sz w:val="21"/>
                <w:szCs w:val="21"/>
              </w:rPr>
              <w:t>E:专家</w:t>
            </w:r>
          </w:p>
          <w:p>
            <w:pPr>
              <w:jc w:val="center"/>
              <w:rPr>
                <w:b/>
                <w:sz w:val="21"/>
                <w:szCs w:val="21"/>
              </w:rPr>
            </w:pPr>
            <w:r>
              <w:rPr>
                <w:b/>
                <w:sz w:val="21"/>
                <w:szCs w:val="21"/>
              </w:rPr>
              <w:t>O:专家</w:t>
            </w:r>
          </w:p>
          <w:p>
            <w:pPr>
              <w:jc w:val="center"/>
              <w:rPr>
                <w:b/>
                <w:sz w:val="21"/>
                <w:szCs w:val="21"/>
              </w:rPr>
            </w:pPr>
          </w:p>
        </w:tc>
        <w:tc>
          <w:tcPr>
            <w:tcW w:w="1699" w:type="dxa"/>
            <w:vAlign w:val="center"/>
          </w:tcPr>
          <w:p>
            <w:pPr>
              <w:jc w:val="center"/>
              <w:rPr>
                <w:rFonts w:hint="eastAsia"/>
                <w:b/>
                <w:sz w:val="21"/>
                <w:szCs w:val="21"/>
              </w:rPr>
            </w:pPr>
            <w:r>
              <w:rPr>
                <w:rFonts w:hint="eastAsia"/>
                <w:b/>
                <w:sz w:val="21"/>
                <w:szCs w:val="21"/>
              </w:rPr>
              <w:t>ISC-JSZJ-249</w:t>
            </w:r>
          </w:p>
          <w:p>
            <w:pPr>
              <w:jc w:val="center"/>
              <w:rPr>
                <w:rFonts w:hint="eastAsia"/>
                <w:b/>
                <w:sz w:val="21"/>
                <w:szCs w:val="21"/>
              </w:rPr>
            </w:pPr>
            <w:r>
              <w:rPr>
                <w:rFonts w:hint="eastAsia"/>
                <w:b/>
                <w:sz w:val="21"/>
                <w:szCs w:val="21"/>
              </w:rPr>
              <w:t>ISC-JSZJ-249</w:t>
            </w:r>
          </w:p>
          <w:p>
            <w:pPr>
              <w:jc w:val="center"/>
              <w:rPr>
                <w:rFonts w:hint="eastAsia"/>
                <w:b/>
                <w:sz w:val="21"/>
                <w:szCs w:val="21"/>
              </w:rPr>
            </w:pPr>
            <w:r>
              <w:rPr>
                <w:rFonts w:hint="eastAsia"/>
                <w:b/>
                <w:sz w:val="21"/>
                <w:szCs w:val="21"/>
              </w:rPr>
              <w:t>ISC-JSZJ-249</w:t>
            </w:r>
          </w:p>
        </w:tc>
        <w:tc>
          <w:tcPr>
            <w:tcW w:w="1728" w:type="dxa"/>
            <w:gridSpan w:val="2"/>
            <w:vAlign w:val="center"/>
          </w:tcPr>
          <w:p>
            <w:pPr>
              <w:jc w:val="center"/>
              <w:rPr>
                <w:b/>
                <w:sz w:val="21"/>
                <w:szCs w:val="21"/>
              </w:rPr>
            </w:pPr>
            <w:r>
              <w:rPr>
                <w:b/>
                <w:sz w:val="21"/>
                <w:szCs w:val="21"/>
              </w:rPr>
              <w:t>Q:16.02.03</w:t>
            </w:r>
          </w:p>
          <w:p>
            <w:pPr>
              <w:jc w:val="center"/>
              <w:rPr>
                <w:b/>
                <w:sz w:val="21"/>
                <w:szCs w:val="21"/>
              </w:rPr>
            </w:pPr>
            <w:r>
              <w:rPr>
                <w:b/>
                <w:sz w:val="21"/>
                <w:szCs w:val="21"/>
              </w:rPr>
              <w:t>E:16.02.03</w:t>
            </w:r>
          </w:p>
          <w:p>
            <w:pPr>
              <w:jc w:val="center"/>
              <w:rPr>
                <w:b/>
                <w:sz w:val="21"/>
                <w:szCs w:val="21"/>
              </w:rPr>
            </w:pPr>
            <w:r>
              <w:rPr>
                <w:b/>
                <w:sz w:val="21"/>
                <w:szCs w:val="21"/>
              </w:rPr>
              <w:t>O:16.02.03</w:t>
            </w:r>
          </w:p>
        </w:tc>
        <w:tc>
          <w:tcPr>
            <w:tcW w:w="1729" w:type="dxa"/>
            <w:gridSpan w:val="2"/>
            <w:vAlign w:val="center"/>
          </w:tcPr>
          <w:p>
            <w:pPr>
              <w:jc w:val="center"/>
              <w:rPr>
                <w:b/>
                <w:sz w:val="21"/>
                <w:szCs w:val="21"/>
              </w:rPr>
            </w:pPr>
            <w:r>
              <w:rPr>
                <w:rFonts w:hint="eastAsia"/>
                <w:b/>
                <w:sz w:val="21"/>
                <w:szCs w:val="21"/>
              </w:rPr>
              <w:t>ISC-JSZJ-249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8" w:name="S勾选Add1"/>
      <w:r>
        <w:rPr>
          <w:rFonts w:hint="eastAsia"/>
          <w:b/>
          <w:sz w:val="21"/>
          <w:szCs w:val="21"/>
        </w:rPr>
        <w:t>■</w:t>
      </w:r>
      <w:bookmarkEnd w:id="8"/>
      <w:r>
        <w:rPr>
          <w:rFonts w:hint="eastAsia"/>
          <w:b/>
          <w:sz w:val="21"/>
          <w:szCs w:val="21"/>
        </w:rPr>
        <w:t xml:space="preserve"> </w:t>
      </w:r>
      <w:r>
        <w:rPr>
          <w:rFonts w:hint="eastAsia"/>
          <w:b/>
          <w:sz w:val="21"/>
          <w:szCs w:val="21"/>
          <w:lang w:val="en-US" w:eastAsia="zh-CN"/>
        </w:rPr>
        <w:t xml:space="preserve">GB/T 45001-2020 idt </w:t>
      </w:r>
      <w:r>
        <w:rPr>
          <w:rFonts w:hint="eastAsia"/>
          <w:b/>
          <w:sz w:val="21"/>
          <w:szCs w:val="21"/>
        </w:rPr>
        <w:t>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vAlign w:val="center"/>
          </w:tcPr>
          <w:p>
            <w:pPr>
              <w:spacing w:line="260" w:lineRule="exact"/>
              <w:jc w:val="center"/>
              <w:rPr>
                <w:rFonts w:ascii="宋体"/>
                <w:b/>
                <w:color w:val="FF0000"/>
                <w:sz w:val="21"/>
              </w:rPr>
            </w:pPr>
            <w:bookmarkStart w:id="9" w:name="组织名称Add"/>
            <w:r>
              <w:rPr>
                <w:rFonts w:ascii="宋体"/>
                <w:b/>
                <w:color w:val="FF0000"/>
                <w:sz w:val="21"/>
              </w:rPr>
              <w:t>江西中建建材有限公司</w:t>
            </w:r>
            <w:bookmarkEnd w:id="9"/>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jc w:val="center"/>
              <w:rPr>
                <w:b/>
                <w:spacing w:val="-20"/>
              </w:rPr>
            </w:pPr>
            <w:r>
              <w:rPr>
                <w:rFonts w:hint="eastAsia" w:ascii="宋体" w:hAnsi="宋体"/>
                <w:b/>
                <w:sz w:val="21"/>
              </w:rPr>
              <w:t>变动情况核实</w:t>
            </w:r>
          </w:p>
        </w:tc>
        <w:tc>
          <w:tcPr>
            <w:tcW w:w="1500" w:type="dxa"/>
            <w:vAlign w:val="center"/>
          </w:tcPr>
          <w:p>
            <w:pPr>
              <w:spacing w:line="260" w:lineRule="exact"/>
              <w:jc w:val="center"/>
              <w:rPr>
                <w:rFonts w:hint="default" w:ascii="宋体" w:eastAsia="宋体"/>
                <w:b/>
                <w:sz w:val="21"/>
                <w:lang w:val="en-US" w:eastAsia="zh-CN"/>
              </w:rPr>
            </w:pPr>
            <w:r>
              <w:rPr>
                <w:rFonts w:hint="eastAsia" w:ascii="宋体"/>
                <w:b/>
                <w:sz w:val="21"/>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江西省南昌市南昌县莲塔公路888号武阳创业园</w:t>
            </w:r>
            <w:bookmarkEnd w:id="10"/>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1" w:name="注册邮编"/>
            <w:r>
              <w:rPr>
                <w:rFonts w:ascii="宋体"/>
                <w:b/>
                <w:sz w:val="21"/>
              </w:rPr>
              <w:t>330219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江西省南昌市南昌县莲武公路胡华大桥旁</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330219</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江西省南昌市南昌县莲塔公路888号武阳创业园</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生产邮编"/>
            <w:r>
              <w:rPr>
                <w:rFonts w:ascii="宋体"/>
                <w:b/>
                <w:sz w:val="21"/>
              </w:rPr>
              <w:t>330219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highlight w:val="none"/>
              </w:rPr>
            </w:pPr>
            <w:r>
              <w:rPr>
                <w:rFonts w:hint="eastAsia" w:ascii="宋体" w:hAnsi="宋体"/>
                <w:b/>
                <w:sz w:val="21"/>
                <w:highlight w:val="none"/>
              </w:rPr>
              <w:t>联系人</w:t>
            </w:r>
          </w:p>
        </w:tc>
        <w:tc>
          <w:tcPr>
            <w:tcW w:w="1689" w:type="dxa"/>
            <w:vAlign w:val="center"/>
          </w:tcPr>
          <w:p>
            <w:pPr>
              <w:jc w:val="center"/>
              <w:rPr>
                <w:rFonts w:ascii="宋体"/>
                <w:b/>
                <w:sz w:val="21"/>
                <w:highlight w:val="none"/>
              </w:rPr>
            </w:pPr>
            <w:r>
              <w:rPr>
                <w:rFonts w:hint="eastAsia" w:ascii="宋体"/>
                <w:b/>
                <w:sz w:val="21"/>
                <w:highlight w:val="none"/>
              </w:rPr>
              <w:t>万林芳</w:t>
            </w:r>
          </w:p>
        </w:tc>
        <w:tc>
          <w:tcPr>
            <w:tcW w:w="1109" w:type="dxa"/>
            <w:vAlign w:val="center"/>
          </w:tcPr>
          <w:p>
            <w:pPr>
              <w:jc w:val="center"/>
              <w:rPr>
                <w:rFonts w:ascii="宋体"/>
                <w:b/>
                <w:sz w:val="21"/>
                <w:highlight w:val="none"/>
              </w:rPr>
            </w:pPr>
            <w:r>
              <w:rPr>
                <w:rFonts w:hint="eastAsia" w:ascii="宋体" w:hAnsi="宋体"/>
                <w:b/>
                <w:sz w:val="21"/>
                <w:highlight w:val="none"/>
              </w:rPr>
              <w:t>电话</w:t>
            </w:r>
            <w:r>
              <w:rPr>
                <w:b/>
                <w:sz w:val="16"/>
                <w:szCs w:val="16"/>
                <w:highlight w:val="none"/>
              </w:rPr>
              <w:t>.</w:t>
            </w:r>
          </w:p>
        </w:tc>
        <w:tc>
          <w:tcPr>
            <w:tcW w:w="1618" w:type="dxa"/>
            <w:gridSpan w:val="2"/>
            <w:vAlign w:val="center"/>
          </w:tcPr>
          <w:p>
            <w:pPr>
              <w:jc w:val="center"/>
              <w:rPr>
                <w:rFonts w:ascii="宋体"/>
                <w:b/>
                <w:sz w:val="21"/>
                <w:highlight w:val="none"/>
              </w:rPr>
            </w:pPr>
            <w:bookmarkStart w:id="16" w:name="联系人电话Add"/>
            <w:r>
              <w:rPr>
                <w:rFonts w:ascii="宋体"/>
                <w:b/>
                <w:sz w:val="21"/>
                <w:highlight w:val="none"/>
              </w:rPr>
              <w:t>13699555698</w:t>
            </w:r>
            <w:bookmarkEnd w:id="16"/>
          </w:p>
        </w:tc>
        <w:tc>
          <w:tcPr>
            <w:tcW w:w="1672" w:type="dxa"/>
            <w:vAlign w:val="center"/>
          </w:tcPr>
          <w:p>
            <w:pPr>
              <w:jc w:val="center"/>
              <w:rPr>
                <w:rFonts w:ascii="宋体"/>
                <w:b/>
                <w:sz w:val="21"/>
                <w:highlight w:val="none"/>
              </w:rPr>
            </w:pPr>
            <w:r>
              <w:rPr>
                <w:rFonts w:hint="eastAsia" w:ascii="宋体" w:hAnsi="宋体"/>
                <w:b/>
                <w:sz w:val="21"/>
                <w:highlight w:val="none"/>
              </w:rPr>
              <w:t>传真</w:t>
            </w:r>
          </w:p>
        </w:tc>
        <w:tc>
          <w:tcPr>
            <w:tcW w:w="1500" w:type="dxa"/>
            <w:vAlign w:val="center"/>
          </w:tcPr>
          <w:p>
            <w:pPr>
              <w:jc w:val="center"/>
              <w:rPr>
                <w:rFonts w:ascii="宋体"/>
                <w:b/>
                <w:sz w:val="21"/>
                <w:highlight w:val="none"/>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highlight w:val="none"/>
              </w:rPr>
            </w:pPr>
            <w:r>
              <w:rPr>
                <w:rFonts w:hint="eastAsia" w:ascii="宋体" w:hAnsi="宋体"/>
                <w:b/>
                <w:sz w:val="21"/>
                <w:szCs w:val="21"/>
                <w:highlight w:val="none"/>
              </w:rPr>
              <w:t>法人代表</w:t>
            </w:r>
          </w:p>
        </w:tc>
        <w:tc>
          <w:tcPr>
            <w:tcW w:w="1689" w:type="dxa"/>
            <w:vAlign w:val="center"/>
          </w:tcPr>
          <w:p>
            <w:pPr>
              <w:jc w:val="center"/>
              <w:rPr>
                <w:rFonts w:ascii="宋体" w:hAnsi="宋体"/>
                <w:b/>
                <w:sz w:val="21"/>
                <w:szCs w:val="21"/>
                <w:highlight w:val="none"/>
              </w:rPr>
            </w:pPr>
            <w:bookmarkStart w:id="18" w:name="法人"/>
            <w:r>
              <w:rPr>
                <w:rFonts w:ascii="宋体" w:hAnsi="宋体"/>
                <w:b/>
                <w:sz w:val="21"/>
                <w:szCs w:val="21"/>
                <w:highlight w:val="none"/>
              </w:rPr>
              <w:t>胡文波</w:t>
            </w:r>
            <w:bookmarkEnd w:id="18"/>
          </w:p>
        </w:tc>
        <w:tc>
          <w:tcPr>
            <w:tcW w:w="1109" w:type="dxa"/>
            <w:vAlign w:val="center"/>
          </w:tcPr>
          <w:p>
            <w:pPr>
              <w:jc w:val="center"/>
              <w:rPr>
                <w:rFonts w:ascii="宋体" w:hAnsi="宋体"/>
                <w:b/>
                <w:sz w:val="21"/>
                <w:szCs w:val="21"/>
                <w:highlight w:val="none"/>
              </w:rPr>
            </w:pPr>
            <w:r>
              <w:rPr>
                <w:rFonts w:hint="eastAsia" w:ascii="宋体" w:hAnsi="宋体"/>
                <w:b/>
                <w:sz w:val="21"/>
                <w:szCs w:val="21"/>
                <w:highlight w:val="none"/>
              </w:rPr>
              <w:t>总经理</w:t>
            </w:r>
          </w:p>
        </w:tc>
        <w:tc>
          <w:tcPr>
            <w:tcW w:w="1618" w:type="dxa"/>
            <w:gridSpan w:val="2"/>
            <w:vAlign w:val="center"/>
          </w:tcPr>
          <w:p>
            <w:pPr>
              <w:jc w:val="center"/>
              <w:rPr>
                <w:rFonts w:ascii="宋体" w:hAnsi="宋体"/>
                <w:b/>
                <w:sz w:val="21"/>
                <w:szCs w:val="21"/>
                <w:highlight w:val="none"/>
              </w:rPr>
            </w:pPr>
            <w:r>
              <w:rPr>
                <w:rFonts w:hint="eastAsia" w:ascii="宋体" w:hAnsi="宋体"/>
                <w:b/>
                <w:sz w:val="21"/>
                <w:szCs w:val="21"/>
                <w:highlight w:val="none"/>
              </w:rPr>
              <w:t>黄冬平</w:t>
            </w:r>
          </w:p>
        </w:tc>
        <w:tc>
          <w:tcPr>
            <w:tcW w:w="1672" w:type="dxa"/>
            <w:vAlign w:val="center"/>
          </w:tcPr>
          <w:p>
            <w:pPr>
              <w:jc w:val="center"/>
              <w:rPr>
                <w:rFonts w:ascii="宋体" w:hAnsi="宋体"/>
                <w:b/>
                <w:sz w:val="21"/>
                <w:szCs w:val="21"/>
                <w:highlight w:val="none"/>
              </w:rPr>
            </w:pPr>
            <w:r>
              <w:rPr>
                <w:rFonts w:hint="eastAsia" w:ascii="宋体" w:hAnsi="宋体"/>
                <w:b/>
                <w:sz w:val="21"/>
                <w:szCs w:val="21"/>
                <w:highlight w:val="none"/>
              </w:rPr>
              <w:t>管理者代表</w:t>
            </w:r>
          </w:p>
        </w:tc>
        <w:tc>
          <w:tcPr>
            <w:tcW w:w="1500" w:type="dxa"/>
            <w:vAlign w:val="center"/>
          </w:tcPr>
          <w:p>
            <w:pPr>
              <w:jc w:val="center"/>
              <w:rPr>
                <w:rFonts w:ascii="宋体"/>
                <w:b/>
                <w:sz w:val="21"/>
                <w:highlight w:val="none"/>
              </w:rPr>
            </w:pPr>
            <w:r>
              <w:rPr>
                <w:rFonts w:hint="eastAsia" w:ascii="宋体"/>
                <w:b/>
                <w:sz w:val="21"/>
                <w:highlight w:val="none"/>
              </w:rPr>
              <w:t>黄冬平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2021年01月30日 上午至2021年02月01日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rPr>
                <w:rFonts w:ascii="宋体" w:hAnsi="宋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sz w:val="20"/>
              </w:rPr>
              <w:t>预拌混凝土的生产</w:t>
            </w:r>
            <w:r>
              <w:rPr>
                <w:rFonts w:hint="eastAsia"/>
                <w:sz w:val="20"/>
                <w:lang w:val="en-US" w:eastAsia="zh-CN"/>
              </w:rPr>
              <w:t xml:space="preserve"> </w:t>
            </w:r>
            <w:r>
              <w:rPr>
                <w:sz w:val="20"/>
              </w:rPr>
              <w:t>O：</w:t>
            </w:r>
            <w:r>
              <w:rPr>
                <w:rFonts w:hint="eastAsia" w:ascii="宋体" w:hAnsi="宋体"/>
                <w:b/>
                <w:sz w:val="21"/>
                <w:szCs w:val="21"/>
              </w:rPr>
              <w:t>□</w:t>
            </w:r>
            <w:bookmarkEnd w:id="21"/>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2" w:name="E勾选Add1"/>
            <w:r>
              <w:rPr>
                <w:rFonts w:hint="eastAsia" w:ascii="宋体" w:hAnsi="宋体"/>
                <w:b/>
                <w:sz w:val="21"/>
                <w:szCs w:val="21"/>
              </w:rPr>
              <w:t>■</w:t>
            </w:r>
            <w:bookmarkEnd w:id="22"/>
            <w:r>
              <w:rPr>
                <w:rFonts w:ascii="宋体" w:hAnsi="宋体"/>
                <w:b/>
                <w:sz w:val="21"/>
                <w:szCs w:val="21"/>
              </w:rPr>
              <w:t>EMS</w:t>
            </w:r>
            <w:r>
              <w:rPr>
                <w:rFonts w:hint="eastAsia" w:ascii="宋体" w:hAnsi="宋体"/>
                <w:b/>
                <w:sz w:val="21"/>
                <w:szCs w:val="21"/>
              </w:rPr>
              <w:t>：</w:t>
            </w:r>
            <w:r>
              <w:rPr>
                <w:sz w:val="20"/>
              </w:rPr>
              <w:t>预拌混凝土的生产相关的环境管理活动</w:t>
            </w:r>
          </w:p>
          <w:p>
            <w:pPr>
              <w:spacing w:line="360" w:lineRule="exact"/>
              <w:rPr>
                <w:rFonts w:ascii="宋体" w:hAnsi="宋体"/>
                <w:b/>
                <w:sz w:val="21"/>
                <w:szCs w:val="21"/>
              </w:rPr>
            </w:pPr>
            <w:bookmarkStart w:id="23" w:name="S勾选Add2"/>
            <w:r>
              <w:rPr>
                <w:rFonts w:hint="eastAsia" w:ascii="宋体" w:hAnsi="宋体"/>
                <w:b/>
                <w:sz w:val="21"/>
                <w:szCs w:val="21"/>
              </w:rPr>
              <w:t>■</w:t>
            </w:r>
            <w:bookmarkEnd w:id="23"/>
            <w:r>
              <w:rPr>
                <w:rFonts w:ascii="宋体" w:hAnsi="宋体"/>
                <w:b/>
                <w:sz w:val="21"/>
                <w:szCs w:val="21"/>
              </w:rPr>
              <w:t>OHSMS</w:t>
            </w:r>
            <w:r>
              <w:rPr>
                <w:rFonts w:hint="eastAsia" w:ascii="宋体" w:hAnsi="宋体"/>
                <w:b/>
                <w:sz w:val="21"/>
                <w:szCs w:val="21"/>
              </w:rPr>
              <w:t>：</w:t>
            </w:r>
            <w:r>
              <w:rPr>
                <w:sz w:val="20"/>
              </w:rPr>
              <w:t>预拌混凝土的生产及相关的职业健康安全管理活动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vAlign w:val="center"/>
          </w:tcPr>
          <w:p>
            <w:pPr>
              <w:spacing w:line="260" w:lineRule="exact"/>
              <w:jc w:val="center"/>
              <w:rPr>
                <w:rFonts w:ascii="宋体" w:hAnsi="宋体"/>
                <w:b/>
                <w:sz w:val="21"/>
                <w:szCs w:val="21"/>
              </w:rPr>
            </w:pPr>
            <w:bookmarkStart w:id="24" w:name="专业代码"/>
            <w:r>
              <w:rPr>
                <w:rFonts w:ascii="宋体" w:hAnsi="宋体"/>
                <w:b/>
                <w:sz w:val="21"/>
                <w:szCs w:val="21"/>
              </w:rPr>
              <w:t>Q：16.02.03</w:t>
            </w:r>
          </w:p>
          <w:p>
            <w:pPr>
              <w:spacing w:line="260" w:lineRule="exact"/>
              <w:jc w:val="center"/>
              <w:rPr>
                <w:rFonts w:ascii="宋体" w:hAnsi="宋体"/>
                <w:b/>
                <w:sz w:val="21"/>
                <w:szCs w:val="21"/>
              </w:rPr>
            </w:pPr>
            <w:r>
              <w:rPr>
                <w:rFonts w:ascii="宋体" w:hAnsi="宋体"/>
                <w:b/>
                <w:sz w:val="21"/>
                <w:szCs w:val="21"/>
              </w:rPr>
              <w:t>E：16.02.03</w:t>
            </w:r>
          </w:p>
          <w:p>
            <w:pPr>
              <w:spacing w:line="260" w:lineRule="exact"/>
              <w:jc w:val="center"/>
              <w:rPr>
                <w:rFonts w:ascii="宋体" w:hAnsi="宋体"/>
                <w:b/>
                <w:sz w:val="21"/>
                <w:szCs w:val="21"/>
              </w:rPr>
            </w:pPr>
            <w:r>
              <w:rPr>
                <w:rFonts w:ascii="宋体" w:hAnsi="宋体"/>
                <w:b/>
                <w:sz w:val="21"/>
                <w:szCs w:val="21"/>
              </w:rPr>
              <w:t>O：16.02.03</w:t>
            </w:r>
            <w:bookmarkEnd w:id="24"/>
          </w:p>
        </w:tc>
        <w:tc>
          <w:tcPr>
            <w:tcW w:w="1109" w:type="dxa"/>
            <w:vAlign w:val="center"/>
          </w:tcPr>
          <w:p>
            <w:pPr>
              <w:spacing w:line="260" w:lineRule="exact"/>
              <w:jc w:val="center"/>
              <w:rPr>
                <w:rFonts w:ascii="宋体" w:hAnsi="宋体"/>
                <w:b/>
                <w:color w:val="auto"/>
                <w:sz w:val="21"/>
                <w:szCs w:val="21"/>
              </w:rPr>
            </w:pPr>
            <w:r>
              <w:rPr>
                <w:rFonts w:hint="eastAsia" w:ascii="宋体" w:hAnsi="宋体"/>
                <w:b/>
                <w:color w:val="auto"/>
                <w:sz w:val="21"/>
                <w:szCs w:val="21"/>
              </w:rPr>
              <w:t>证书有</w:t>
            </w:r>
          </w:p>
          <w:p>
            <w:pPr>
              <w:spacing w:line="260" w:lineRule="exact"/>
              <w:jc w:val="center"/>
              <w:rPr>
                <w:rFonts w:ascii="宋体" w:hAnsi="宋体"/>
                <w:b/>
                <w:color w:val="auto"/>
                <w:sz w:val="21"/>
                <w:szCs w:val="21"/>
              </w:rPr>
            </w:pPr>
            <w:r>
              <w:rPr>
                <w:rFonts w:hint="eastAsia" w:ascii="宋体" w:hAnsi="宋体"/>
                <w:b/>
                <w:color w:val="auto"/>
                <w:sz w:val="21"/>
                <w:szCs w:val="21"/>
              </w:rPr>
              <w:t>效期</w:t>
            </w:r>
          </w:p>
        </w:tc>
        <w:tc>
          <w:tcPr>
            <w:tcW w:w="1618" w:type="dxa"/>
            <w:gridSpan w:val="2"/>
            <w:vAlign w:val="center"/>
          </w:tcPr>
          <w:p>
            <w:pPr>
              <w:spacing w:line="260" w:lineRule="exact"/>
              <w:jc w:val="center"/>
              <w:rPr>
                <w:rFonts w:hint="eastAsia" w:ascii="宋体" w:hAnsi="宋体"/>
                <w:b/>
                <w:color w:val="auto"/>
                <w:sz w:val="21"/>
                <w:szCs w:val="21"/>
                <w:lang w:val="en-US" w:eastAsia="zh-CN"/>
              </w:rPr>
            </w:pPr>
            <w:r>
              <w:rPr>
                <w:rFonts w:hint="eastAsia" w:ascii="宋体" w:hAnsi="宋体"/>
                <w:b/>
                <w:color w:val="auto"/>
                <w:sz w:val="21"/>
                <w:szCs w:val="21"/>
                <w:lang w:val="en-US" w:eastAsia="zh-CN"/>
              </w:rPr>
              <w:t>2022.11.10</w:t>
            </w:r>
          </w:p>
          <w:p>
            <w:pPr>
              <w:spacing w:line="260" w:lineRule="exact"/>
              <w:jc w:val="center"/>
              <w:rPr>
                <w:rFonts w:hint="eastAsia" w:ascii="宋体" w:hAnsi="宋体"/>
                <w:b/>
                <w:color w:val="auto"/>
                <w:sz w:val="21"/>
                <w:szCs w:val="21"/>
                <w:lang w:val="en-US" w:eastAsia="zh-CN"/>
              </w:rPr>
            </w:pPr>
            <w:r>
              <w:rPr>
                <w:rFonts w:hint="eastAsia" w:ascii="宋体" w:hAnsi="宋体"/>
                <w:b/>
                <w:color w:val="auto"/>
                <w:sz w:val="21"/>
                <w:szCs w:val="21"/>
                <w:lang w:val="en-US" w:eastAsia="zh-CN"/>
              </w:rPr>
              <w:t>2022.11.10</w:t>
            </w:r>
          </w:p>
          <w:p>
            <w:pPr>
              <w:spacing w:line="260" w:lineRule="exact"/>
              <w:jc w:val="center"/>
              <w:rPr>
                <w:rFonts w:hint="default" w:ascii="宋体" w:hAnsi="宋体"/>
                <w:b/>
                <w:color w:val="auto"/>
                <w:sz w:val="21"/>
                <w:szCs w:val="21"/>
                <w:lang w:val="en-US" w:eastAsia="zh-CN"/>
              </w:rPr>
            </w:pPr>
            <w:r>
              <w:rPr>
                <w:rFonts w:hint="eastAsia" w:ascii="宋体" w:hAnsi="宋体"/>
                <w:b/>
                <w:color w:val="auto"/>
                <w:sz w:val="21"/>
                <w:szCs w:val="21"/>
                <w:lang w:val="en-US" w:eastAsia="zh-CN"/>
              </w:rPr>
              <w:t>2022.11.10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宋体"/>
                <w:b/>
                <w:sz w:val="21"/>
              </w:rPr>
            </w:pPr>
            <w:r>
              <w:rPr>
                <w:rFonts w:hint="eastAsia" w:ascii="宋体"/>
                <w:b w:val="0"/>
                <w:bCs/>
                <w:sz w:val="21"/>
              </w:rPr>
              <w:t>2019年10月24日上午至2019年10月26日上午</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本次审核覆盖时间：从上次审核结束日的2019年10月26日上午至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2</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b w:val="0"/>
                <w:bCs/>
                <w:sz w:val="21"/>
                <w:szCs w:val="21"/>
              </w:rPr>
            </w:pPr>
            <w:r>
              <w:rPr>
                <w:rFonts w:hint="eastAsia" w:ascii="宋体" w:hAnsi="宋体"/>
                <w:b w:val="0"/>
                <w:bCs/>
                <w:sz w:val="21"/>
                <w:szCs w:val="21"/>
              </w:rPr>
              <w:t>江西中建建材有限公司于2008年注册成立。是一家管理现代化、设备现代化；集商品混凝土生产、销售、运输、泵送及工程施工为一体的新兴民营企业，已获得市规划建设局颁发的商品混凝土专业企业三级资质证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b w:val="0"/>
                <w:bCs/>
                <w:sz w:val="21"/>
                <w:szCs w:val="21"/>
              </w:rPr>
            </w:pPr>
            <w:r>
              <w:rPr>
                <w:rFonts w:hint="eastAsia" w:ascii="宋体" w:hAnsi="宋体"/>
                <w:b w:val="0"/>
                <w:bCs/>
                <w:sz w:val="21"/>
                <w:szCs w:val="21"/>
              </w:rPr>
              <w:t>公司注册资金2500万元；注册地位于江西省南昌市南昌县莲塔公路888号武阳创业园，南昌县胡华大桥旁，占地面积40000多平方米，具有地理优越、交通便捷的优势，目前拥有4方机二套（进口）全自动生产线，自备发电机组两台以及混凝土专项试验设备一套，具备年生产商品混凝土100万立方米的能力，可生产塑性、干硬性等多种混凝土，广泛应用于各种类型的房屋建筑、道路、桥梁建设工程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b w:val="0"/>
                <w:bCs/>
                <w:sz w:val="21"/>
                <w:szCs w:val="21"/>
              </w:rPr>
            </w:pPr>
            <w:r>
              <w:rPr>
                <w:rFonts w:hint="eastAsia" w:ascii="宋体" w:hAnsi="宋体"/>
                <w:b w:val="0"/>
                <w:bCs/>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b/>
                <w:sz w:val="21"/>
                <w:szCs w:val="21"/>
              </w:rPr>
            </w:pPr>
            <w:r>
              <w:rPr>
                <w:rFonts w:hint="eastAsia" w:ascii="宋体" w:hAnsi="宋体"/>
                <w:b w:val="0"/>
                <w:bCs/>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rPr>
                <w:rFonts w:hint="eastAsia" w:ascii="宋体" w:hAnsi="宋体"/>
                <w:b/>
                <w:sz w:val="21"/>
                <w:szCs w:val="21"/>
              </w:rPr>
            </w:pPr>
            <w:r>
              <w:rPr>
                <w:rFonts w:ascii="宋体" w:hAnsi="宋体"/>
                <w:b/>
                <w:sz w:val="21"/>
                <w:szCs w:val="21"/>
              </w:rPr>
              <w:t>2</w:t>
            </w:r>
            <w:r>
              <w:rPr>
                <w:rFonts w:hint="eastAsia" w:ascii="宋体" w:hAnsi="宋体"/>
                <w:b/>
                <w:sz w:val="21"/>
                <w:szCs w:val="21"/>
              </w:rPr>
              <w:t>、相关方需求和期望识别情况</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相关方包括顾客、股东、员工、供应商、竞争对手、社会团体等。</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相关方期望和要求为价格、安全性、合同协议、行业规范标准等。</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识别的方法为：主动调查、水平对比等。检测指标或项目：顾客满意度、客户投诉率、供方评价表等。</w:t>
            </w:r>
          </w:p>
          <w:p>
            <w:pPr>
              <w:keepNext w:val="0"/>
              <w:keepLines w:val="0"/>
              <w:pageBreakBefore w:val="0"/>
              <w:widowControl w:val="0"/>
              <w:kinsoku/>
              <w:wordWrap/>
              <w:overflowPunct/>
              <w:topLinePunct w:val="0"/>
              <w:autoSpaceDE/>
              <w:autoSpaceDN/>
              <w:bidi w:val="0"/>
              <w:adjustRightInd/>
              <w:snapToGrid/>
              <w:spacing w:line="312" w:lineRule="auto"/>
              <w:ind w:firstLine="396" w:firstLineChars="200"/>
              <w:textAlignment w:val="auto"/>
              <w:rPr>
                <w:rFonts w:hint="default" w:ascii="宋体" w:hAnsi="宋体" w:eastAsia="宋体"/>
                <w:b/>
                <w:sz w:val="21"/>
                <w:szCs w:val="21"/>
                <w:lang w:val="en-US" w:eastAsia="zh-CN"/>
              </w:rPr>
            </w:pPr>
            <w:r>
              <w:rPr>
                <w:rFonts w:hint="eastAsia" w:ascii="宋体" w:hAnsi="宋体" w:cs="Arial"/>
                <w:spacing w:val="-6"/>
                <w:sz w:val="21"/>
                <w:szCs w:val="21"/>
              </w:rPr>
              <w:t>基本识别了与组织管理体系有关的相关方和要求。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3.</w:t>
            </w: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公司的管理方针是：</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 xml:space="preserve">质量至上、持续创新、诚实守信、顾客至上 </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预防为主，降低风险；遵章守法，减污降耗</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firstLine="420" w:firstLineChars="200"/>
              <w:rPr>
                <w:rFonts w:hint="eastAsia" w:ascii="宋体" w:hAnsi="宋体"/>
                <w:b/>
                <w:sz w:val="21"/>
                <w:szCs w:val="21"/>
              </w:rPr>
            </w:pPr>
            <w:r>
              <w:rPr>
                <w:rFonts w:hint="eastAsia" w:ascii="宋体" w:hAnsi="宋体"/>
                <w:b w:val="0"/>
                <w:bCs/>
                <w:sz w:val="21"/>
                <w:szCs w:val="21"/>
                <w:lang w:val="en-US" w:eastAsia="zh-CN"/>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ascii="宋体" w:hAnsi="宋体"/>
                <w:b/>
                <w:sz w:val="21"/>
                <w:szCs w:val="21"/>
              </w:rPr>
            </w:pPr>
            <w:r>
              <w:rPr>
                <w:rFonts w:ascii="宋体" w:hAnsi="宋体"/>
                <w:b/>
                <w:sz w:val="21"/>
                <w:szCs w:val="21"/>
              </w:rPr>
              <w:t>4</w:t>
            </w:r>
            <w:r>
              <w:rPr>
                <w:rFonts w:hint="eastAsia" w:ascii="宋体" w:hAnsi="宋体"/>
                <w:b/>
                <w:sz w:val="21"/>
                <w:szCs w:val="21"/>
              </w:rPr>
              <w:t>、风险识别与控制策划</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基于对4.1和4.2的考虑，分析了公司存在的风险和机遇：</w:t>
            </w:r>
          </w:p>
          <w:p>
            <w:pPr>
              <w:spacing w:line="360" w:lineRule="auto"/>
              <w:ind w:firstLine="420" w:firstLineChars="200"/>
              <w:rPr>
                <w:rFonts w:hint="default" w:ascii="宋体" w:hAnsi="宋体"/>
                <w:b w:val="0"/>
                <w:bCs/>
                <w:sz w:val="21"/>
                <w:szCs w:val="21"/>
                <w:lang w:val="en-US" w:eastAsia="zh-CN"/>
              </w:rPr>
            </w:pPr>
            <w:r>
              <w:rPr>
                <w:rFonts w:hint="eastAsia" w:ascii="宋体" w:hAnsi="宋体"/>
                <w:b w:val="0"/>
                <w:bCs/>
                <w:sz w:val="21"/>
                <w:szCs w:val="21"/>
                <w:lang w:val="en-US" w:eastAsia="zh-CN"/>
              </w:rPr>
              <w:t>机遇：</w:t>
            </w:r>
            <w:r>
              <w:rPr>
                <w:rFonts w:hint="default" w:ascii="宋体" w:hAnsi="宋体"/>
                <w:b w:val="0"/>
                <w:bCs/>
                <w:sz w:val="21"/>
                <w:szCs w:val="21"/>
                <w:lang w:val="en-US" w:eastAsia="zh-CN"/>
              </w:rPr>
              <w:t>行业市场的规模化，市场需求量很大</w:t>
            </w:r>
            <w:r>
              <w:rPr>
                <w:rFonts w:hint="eastAsia" w:ascii="宋体" w:hAnsi="宋体"/>
                <w:b w:val="0"/>
                <w:bCs/>
                <w:sz w:val="21"/>
                <w:szCs w:val="21"/>
                <w:lang w:val="en-US" w:eastAsia="zh-CN"/>
              </w:rPr>
              <w:t>，</w:t>
            </w:r>
            <w:r>
              <w:rPr>
                <w:rFonts w:hint="default" w:ascii="宋体" w:hAnsi="宋体"/>
                <w:b w:val="0"/>
                <w:bCs/>
                <w:sz w:val="21"/>
                <w:szCs w:val="21"/>
                <w:lang w:val="en-US" w:eastAsia="zh-CN"/>
              </w:rPr>
              <w:t>销售市场巨大，目前市场经济对企业有较好的推动作用。</w:t>
            </w:r>
          </w:p>
          <w:p>
            <w:pPr>
              <w:spacing w:line="360" w:lineRule="auto"/>
              <w:ind w:firstLine="420" w:firstLineChars="200"/>
              <w:rPr>
                <w:rFonts w:hint="default" w:ascii="宋体" w:hAnsi="宋体"/>
                <w:b w:val="0"/>
                <w:bCs/>
                <w:sz w:val="21"/>
                <w:szCs w:val="21"/>
                <w:lang w:val="en-US" w:eastAsia="zh-CN"/>
              </w:rPr>
            </w:pPr>
            <w:r>
              <w:rPr>
                <w:rFonts w:hint="eastAsia" w:ascii="宋体" w:hAnsi="宋体"/>
                <w:b w:val="0"/>
                <w:bCs/>
                <w:sz w:val="21"/>
                <w:szCs w:val="21"/>
                <w:lang w:val="en-US" w:eastAsia="zh-CN"/>
              </w:rPr>
              <w:t>风险：</w:t>
            </w:r>
            <w:r>
              <w:rPr>
                <w:rFonts w:hint="default" w:ascii="宋体" w:hAnsi="宋体"/>
                <w:b w:val="0"/>
                <w:bCs/>
                <w:sz w:val="21"/>
                <w:szCs w:val="21"/>
                <w:lang w:val="en-US" w:eastAsia="zh-CN"/>
              </w:rPr>
              <w:t>经济不景气，同时加上竞争对手的扩大发展，对公司产品的竞争力和价格都产生比较大的压力，市场风险比较大。</w:t>
            </w:r>
          </w:p>
          <w:p>
            <w:pPr>
              <w:spacing w:line="360" w:lineRule="auto"/>
              <w:ind w:firstLine="420" w:firstLineChars="200"/>
              <w:rPr>
                <w:rFonts w:hint="eastAsia" w:ascii="宋体" w:hAnsi="宋体"/>
                <w:b w:val="0"/>
                <w:bCs/>
                <w:sz w:val="21"/>
                <w:szCs w:val="21"/>
                <w:lang w:val="en-US" w:eastAsia="zh-CN"/>
              </w:rPr>
            </w:pPr>
            <w:r>
              <w:rPr>
                <w:rFonts w:hint="default" w:ascii="宋体" w:hAnsi="宋体"/>
                <w:b w:val="0"/>
                <w:bCs/>
                <w:sz w:val="21"/>
                <w:szCs w:val="21"/>
                <w:lang w:val="en-US" w:eastAsia="zh-CN"/>
              </w:rPr>
              <w:t>编制有《风险和机遇的应对控制程序》，对组织内外的风险和机遇进行了策划。</w:t>
            </w:r>
            <w:r>
              <w:rPr>
                <w:rFonts w:hint="eastAsia" w:ascii="宋体" w:hAnsi="宋体"/>
                <w:b w:val="0"/>
                <w:bCs/>
                <w:sz w:val="21"/>
                <w:szCs w:val="21"/>
                <w:lang w:val="en-US" w:eastAsia="zh-CN"/>
              </w:rPr>
              <w:t>介绍说，公司</w:t>
            </w:r>
            <w:r>
              <w:rPr>
                <w:rFonts w:hint="default" w:ascii="宋体" w:hAnsi="宋体"/>
                <w:b w:val="0"/>
                <w:bCs/>
                <w:sz w:val="21"/>
                <w:szCs w:val="21"/>
                <w:lang w:val="en-US" w:eastAsia="zh-CN"/>
              </w:rPr>
              <w:t>识别了风险和机遇来源、风险和机遇内容、管理措施、责任部门、实时时间、评价措施等</w:t>
            </w:r>
            <w:r>
              <w:rPr>
                <w:rFonts w:hint="eastAsia" w:ascii="宋体" w:hAnsi="宋体"/>
                <w:b w:val="0"/>
                <w:bCs/>
                <w:sz w:val="21"/>
                <w:szCs w:val="21"/>
                <w:lang w:val="en-US" w:eastAsia="zh-CN"/>
              </w:rPr>
              <w:t>；</w:t>
            </w:r>
          </w:p>
          <w:p>
            <w:pPr>
              <w:spacing w:line="360" w:lineRule="auto"/>
              <w:ind w:firstLine="420" w:firstLineChars="200"/>
              <w:rPr>
                <w:rFonts w:hint="eastAsia" w:ascii="宋体" w:hAnsi="宋体"/>
                <w:b/>
                <w:sz w:val="21"/>
                <w:szCs w:val="21"/>
              </w:rPr>
            </w:pPr>
            <w:r>
              <w:rPr>
                <w:rFonts w:hint="eastAsia" w:ascii="宋体" w:hAnsi="宋体"/>
                <w:b w:val="0"/>
                <w:bCs/>
                <w:sz w:val="21"/>
                <w:szCs w:val="21"/>
                <w:lang w:val="en-US" w:eastAsia="zh-CN"/>
              </w:rPr>
              <w:t>为应对相应的风险和机遇，公司依据GB/T19001-2016、GB/T24001-2016、GB/T45001-2020标准的要求并结合本公司的具体情况，采取PDCA的过程方法，建立、实施、保持并持续改进质量、环境、职业健康安全管理体系。编制《管理手册》A/0版，管理体系于2020.7.1建立并正式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质量管理体系过程有：</w:t>
            </w:r>
            <w:r>
              <w:rPr>
                <w:rFonts w:hint="eastAsia" w:ascii="宋体" w:hAnsi="宋体"/>
                <w:b w:val="0"/>
                <w:bCs/>
                <w:sz w:val="21"/>
                <w:szCs w:val="21"/>
                <w:u w:val="single"/>
                <w:lang w:val="en-US" w:eastAsia="zh-CN"/>
              </w:rPr>
              <w:t>原材料检验-测砂石含水率、调整砂石和用水量、调整好的配合比输入微机-按配合比要求计量（称重）-搅拌（定时控制）</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其中关键过程有</w:t>
            </w:r>
            <w:r>
              <w:rPr>
                <w:rFonts w:hint="eastAsia" w:ascii="宋体" w:hAnsi="宋体"/>
                <w:b w:val="0"/>
                <w:bCs/>
                <w:sz w:val="21"/>
                <w:szCs w:val="21"/>
                <w:u w:val="single"/>
                <w:lang w:val="en-US" w:eastAsia="zh-CN"/>
              </w:rPr>
              <w:t xml:space="preserve">  按配合比要求计量（称重）和搅拌（定时控制）</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需要确认过程  按配合比要求计量（称重）和搅拌（定时控制）</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val="0"/>
                <w:bCs/>
                <w:sz w:val="21"/>
                <w:szCs w:val="21"/>
                <w:lang w:val="en-US" w:eastAsia="zh-CN"/>
              </w:rPr>
              <w:t>删减条款是8.3，删减理由：本公司预拌混凝土的生产及其所涉及的相关管理活动均按照企标规范及客户提供的尺寸要求转换为技术图纸、工艺要求组织生产，其生产过程不涉及GB/T19001-2016/ISO 9001：2015标准中8.3条款内容，其不适用的要求不影响组织确保其产品和服务合格的能力和责任，对增强顾客满意也不会产生影响。</w:t>
            </w:r>
          </w:p>
          <w:p>
            <w:pPr>
              <w:spacing w:line="360" w:lineRule="auto"/>
              <w:ind w:firstLine="420" w:firstLineChars="200"/>
              <w:rPr>
                <w:rFonts w:hint="default" w:ascii="宋体" w:hAnsi="宋体"/>
                <w:b w:val="0"/>
                <w:bCs/>
                <w:sz w:val="21"/>
                <w:szCs w:val="21"/>
                <w:lang w:val="en-US" w:eastAsia="zh-CN"/>
              </w:rPr>
            </w:pPr>
            <w:r>
              <w:rPr>
                <w:rFonts w:hint="eastAsia" w:ascii="宋体" w:hAnsi="宋体"/>
                <w:b w:val="0"/>
                <w:bCs/>
                <w:sz w:val="21"/>
                <w:szCs w:val="21"/>
                <w:lang w:val="en-US" w:eastAsia="zh-CN"/>
              </w:rPr>
              <w:t>删减基本合理。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公司制订《环境因素识别与评价控制程序》和《危险源识别与风险评价控制程序》，根据预拌混凝土生产过程及工作特点对涉及的环境因素进行了识别和辨识</w:t>
            </w:r>
            <w:r>
              <w:rPr>
                <w:rFonts w:hint="eastAsia" w:ascii="宋体" w:hAnsi="宋体"/>
                <w:b w:val="0"/>
                <w:bCs/>
                <w:sz w:val="21"/>
                <w:szCs w:val="21"/>
                <w:lang w:val="en-US" w:eastAsia="zh-CN"/>
              </w:rPr>
              <w:t>,基本充分</w:t>
            </w:r>
            <w:r>
              <w:rPr>
                <w:rFonts w:hint="eastAsia" w:ascii="宋体" w:hAnsi="宋体"/>
                <w:b w:val="0"/>
                <w:bCs/>
                <w:sz w:val="21"/>
                <w:szCs w:val="21"/>
              </w:rPr>
              <w:t>。</w:t>
            </w:r>
          </w:p>
          <w:p>
            <w:pPr>
              <w:spacing w:line="360" w:lineRule="auto"/>
              <w:ind w:firstLine="420" w:firstLineChars="200"/>
              <w:rPr>
                <w:rFonts w:hint="default" w:ascii="宋体" w:hAnsi="宋体" w:eastAsia="宋体"/>
                <w:b w:val="0"/>
                <w:bCs/>
                <w:sz w:val="21"/>
                <w:szCs w:val="21"/>
                <w:lang w:val="en-US" w:eastAsia="zh-CN"/>
              </w:rPr>
            </w:pPr>
            <w:r>
              <w:rPr>
                <w:rFonts w:hint="eastAsia" w:ascii="宋体" w:hAnsi="宋体"/>
                <w:b w:val="0"/>
                <w:bCs/>
                <w:sz w:val="21"/>
                <w:szCs w:val="21"/>
                <w:lang w:val="en-US" w:eastAsia="zh-CN"/>
              </w:rPr>
              <w:t>重要环境因素：</w:t>
            </w:r>
            <w:r>
              <w:rPr>
                <w:rFonts w:hint="eastAsia" w:ascii="宋体" w:hAnsi="宋体"/>
                <w:b w:val="0"/>
                <w:bCs/>
                <w:sz w:val="21"/>
                <w:szCs w:val="21"/>
              </w:rPr>
              <w:t>粉尘的排放，噪声的排放，能源的消耗，废水、废渣的排放、固废的废弃等</w:t>
            </w:r>
            <w:r>
              <w:rPr>
                <w:rFonts w:hint="eastAsia" w:ascii="宋体" w:hAnsi="宋体"/>
                <w:b w:val="0"/>
                <w:bCs/>
                <w:sz w:val="21"/>
                <w:szCs w:val="21"/>
                <w:lang w:eastAsia="zh-CN"/>
              </w:rPr>
              <w:t>，</w:t>
            </w:r>
            <w:r>
              <w:rPr>
                <w:rFonts w:hint="eastAsia" w:ascii="宋体" w:hAnsi="宋体"/>
                <w:b w:val="0"/>
                <w:bCs/>
                <w:sz w:val="21"/>
                <w:szCs w:val="21"/>
                <w:lang w:val="en-US" w:eastAsia="zh-CN"/>
              </w:rPr>
              <w:t>基本合理。</w:t>
            </w:r>
          </w:p>
          <w:p>
            <w:pPr>
              <w:spacing w:line="360" w:lineRule="auto"/>
              <w:ind w:firstLine="396" w:firstLineChars="200"/>
              <w:rPr>
                <w:rFonts w:hint="eastAsia" w:ascii="宋体" w:hAnsi="宋体"/>
                <w:b w:val="0"/>
                <w:bCs/>
                <w:sz w:val="21"/>
                <w:szCs w:val="21"/>
              </w:rPr>
            </w:pPr>
            <w:r>
              <w:rPr>
                <w:rFonts w:hint="eastAsia" w:ascii="宋体" w:hAnsi="宋体" w:cs="Arial"/>
                <w:spacing w:val="-6"/>
                <w:sz w:val="21"/>
                <w:szCs w:val="21"/>
                <w:lang w:val="en-US" w:eastAsia="zh-CN"/>
              </w:rPr>
              <w:t>制定有控制措施。建立有管理方案，明确了措施、时间要求、责任部门等。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A3"/>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60" w:lineRule="auto"/>
              <w:ind w:firstLine="420" w:firstLineChars="200"/>
              <w:rPr>
                <w:rFonts w:hint="eastAsia" w:ascii="宋体" w:hAnsi="宋体"/>
                <w:b w:val="0"/>
                <w:bCs/>
                <w:sz w:val="21"/>
                <w:szCs w:val="21"/>
              </w:rPr>
            </w:pPr>
            <w:r>
              <w:rPr>
                <w:rFonts w:hint="eastAsia" w:ascii="宋体" w:hAnsi="宋体"/>
                <w:b w:val="0"/>
                <w:bCs/>
                <w:sz w:val="21"/>
                <w:szCs w:val="21"/>
              </w:rPr>
              <w:t>公司制订《环境因素识别与评价控制程序》和《危险源识别与风险评价控制程序》，根据预拌混凝土生产过程及工作特点对涉及的环境因素、危险源进行了识别和辨识</w:t>
            </w:r>
            <w:r>
              <w:rPr>
                <w:rFonts w:hint="eastAsia" w:ascii="宋体" w:hAnsi="宋体"/>
                <w:b w:val="0"/>
                <w:bCs/>
                <w:sz w:val="21"/>
                <w:szCs w:val="21"/>
                <w:lang w:eastAsia="zh-CN"/>
              </w:rPr>
              <w:t>，识别出生产技术部（包括车队）</w:t>
            </w:r>
            <w:r>
              <w:rPr>
                <w:rFonts w:hint="eastAsia" w:ascii="宋体" w:hAnsi="宋体" w:cs="Arial"/>
                <w:spacing w:val="-6"/>
                <w:sz w:val="21"/>
                <w:szCs w:val="21"/>
                <w:lang w:val="en-US" w:eastAsia="zh-CN"/>
              </w:rPr>
              <w:t>危险源有：触电、火灾、机械伤害、听力损害、爆炸、高空坠落、中毒、职业病、人身伤害等。</w:t>
            </w:r>
            <w:r>
              <w:rPr>
                <w:rFonts w:hint="eastAsia" w:ascii="宋体" w:hAnsi="宋体"/>
                <w:b w:val="0"/>
                <w:bCs/>
                <w:sz w:val="21"/>
                <w:szCs w:val="21"/>
                <w:lang w:val="en-US" w:eastAsia="zh-CN"/>
              </w:rPr>
              <w:t>基本充分</w:t>
            </w:r>
            <w:r>
              <w:rPr>
                <w:rFonts w:hint="eastAsia" w:ascii="宋体" w:hAnsi="宋体"/>
                <w:b w:val="0"/>
                <w:bCs/>
                <w:sz w:val="21"/>
                <w:szCs w:val="21"/>
              </w:rPr>
              <w:t>。</w:t>
            </w:r>
          </w:p>
          <w:p>
            <w:pPr>
              <w:spacing w:line="360" w:lineRule="auto"/>
              <w:ind w:firstLine="420" w:firstLineChars="200"/>
              <w:rPr>
                <w:rFonts w:hint="eastAsia" w:ascii="宋体" w:hAnsi="宋体" w:cs="Arial"/>
                <w:spacing w:val="-6"/>
                <w:sz w:val="21"/>
                <w:szCs w:val="21"/>
                <w:lang w:val="en-US" w:eastAsia="zh-CN"/>
              </w:rPr>
            </w:pPr>
            <w:r>
              <w:rPr>
                <w:rFonts w:hint="eastAsia" w:ascii="宋体" w:hAnsi="宋体"/>
                <w:b w:val="0"/>
                <w:bCs/>
                <w:sz w:val="21"/>
                <w:szCs w:val="21"/>
              </w:rPr>
              <w:t>不可接受风险有：</w:t>
            </w:r>
            <w:r>
              <w:rPr>
                <w:rFonts w:hint="eastAsia" w:ascii="宋体" w:hAnsi="宋体" w:cs="Arial"/>
                <w:spacing w:val="-6"/>
                <w:sz w:val="21"/>
                <w:szCs w:val="21"/>
                <w:lang w:val="en-US" w:eastAsia="zh-CN"/>
              </w:rPr>
              <w:t>职业病；高空坠落；运输伤亡、机械伤害和触电；</w:t>
            </w:r>
          </w:p>
          <w:p>
            <w:pPr>
              <w:spacing w:line="360" w:lineRule="auto"/>
              <w:ind w:firstLine="396" w:firstLineChars="200"/>
              <w:rPr>
                <w:rFonts w:hint="eastAsia" w:ascii="宋体" w:hAnsi="宋体"/>
                <w:b w:val="0"/>
                <w:bCs/>
                <w:sz w:val="21"/>
                <w:szCs w:val="21"/>
              </w:rPr>
            </w:pPr>
            <w:r>
              <w:rPr>
                <w:rFonts w:hint="eastAsia" w:ascii="宋体" w:hAnsi="宋体" w:cs="Arial"/>
                <w:spacing w:val="-6"/>
                <w:sz w:val="21"/>
                <w:szCs w:val="21"/>
                <w:lang w:val="en-US" w:eastAsia="zh-CN"/>
              </w:rPr>
              <w:t>制定有控制措施。建立有管理方案，明确了措施、时间要求、责任部门等。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质量目标：</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成品一次交验合格率≥97%</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顾客满意度≥95分；</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环保安全目标：</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火灾、触电机械伤害、高空堕落控制事故为0</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职业病发病为0</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固体废弃物分类处置</w:t>
            </w:r>
          </w:p>
          <w:p>
            <w:pPr>
              <w:spacing w:line="360" w:lineRule="auto"/>
              <w:ind w:firstLine="420" w:firstLineChars="200"/>
              <w:rPr>
                <w:rFonts w:hint="default" w:ascii="宋体" w:hAnsi="宋体"/>
                <w:b w:val="0"/>
                <w:bCs/>
                <w:sz w:val="21"/>
                <w:szCs w:val="21"/>
                <w:lang w:val="en-US" w:eastAsia="zh-CN"/>
              </w:rPr>
            </w:pPr>
            <w:r>
              <w:rPr>
                <w:rFonts w:hint="default" w:ascii="宋体" w:hAnsi="宋体"/>
                <w:b w:val="0"/>
                <w:bCs/>
                <w:sz w:val="21"/>
                <w:szCs w:val="21"/>
                <w:lang w:val="en-US" w:eastAsia="zh-CN"/>
              </w:rPr>
              <w:t>噪声\粉尘达标排放</w:t>
            </w:r>
          </w:p>
          <w:p>
            <w:pPr>
              <w:spacing w:line="360" w:lineRule="auto"/>
              <w:ind w:firstLine="420" w:firstLineChars="200"/>
              <w:rPr>
                <w:rFonts w:hint="default" w:ascii="宋体" w:hAnsi="宋体"/>
                <w:b w:val="0"/>
                <w:bCs/>
                <w:sz w:val="21"/>
                <w:szCs w:val="21"/>
                <w:lang w:val="en-US" w:eastAsia="zh-CN"/>
              </w:rPr>
            </w:pPr>
            <w:r>
              <w:rPr>
                <w:rFonts w:hint="eastAsia" w:ascii="宋体" w:hAnsi="宋体"/>
                <w:b w:val="0"/>
                <w:bCs/>
                <w:sz w:val="21"/>
                <w:szCs w:val="21"/>
                <w:lang w:val="en-US" w:eastAsia="zh-CN"/>
              </w:rPr>
              <w:t>保留有</w:t>
            </w:r>
            <w:r>
              <w:rPr>
                <w:rFonts w:hint="default" w:ascii="宋体" w:hAnsi="宋体"/>
                <w:b w:val="0"/>
                <w:bCs/>
                <w:sz w:val="21"/>
                <w:szCs w:val="21"/>
                <w:lang w:val="en-US" w:eastAsia="zh-CN"/>
              </w:rPr>
              <w:t>公司的环境和安全管理方案和控制措施。基本符合。</w:t>
            </w:r>
          </w:p>
          <w:p>
            <w:pPr>
              <w:spacing w:line="360" w:lineRule="auto"/>
              <w:ind w:firstLine="420" w:firstLineChars="200"/>
              <w:rPr>
                <w:rFonts w:ascii="宋体" w:hAnsi="宋体"/>
                <w:b/>
                <w:sz w:val="21"/>
                <w:szCs w:val="21"/>
              </w:rPr>
            </w:pPr>
            <w:r>
              <w:rPr>
                <w:rFonts w:hint="default" w:ascii="宋体" w:hAnsi="宋体"/>
                <w:b w:val="0"/>
                <w:bCs/>
                <w:sz w:val="21"/>
                <w:szCs w:val="21"/>
                <w:lang w:val="en-US" w:eastAsia="zh-CN"/>
              </w:rPr>
              <w:t>保留“管理目标/指标分解考核表”，显示对管理目标进行了分解，2020年</w:t>
            </w:r>
            <w:r>
              <w:rPr>
                <w:rFonts w:hint="eastAsia" w:ascii="宋体" w:hAnsi="宋体"/>
                <w:b w:val="0"/>
                <w:bCs/>
                <w:sz w:val="21"/>
                <w:szCs w:val="21"/>
                <w:lang w:val="en-US" w:eastAsia="zh-CN"/>
              </w:rPr>
              <w:t>1</w:t>
            </w:r>
            <w:r>
              <w:rPr>
                <w:rFonts w:hint="default" w:ascii="宋体" w:hAnsi="宋体"/>
                <w:b w:val="0"/>
                <w:bCs/>
                <w:sz w:val="21"/>
                <w:szCs w:val="21"/>
                <w:lang w:val="en-US" w:eastAsia="zh-CN"/>
              </w:rPr>
              <w:t>月-1</w:t>
            </w:r>
            <w:r>
              <w:rPr>
                <w:rFonts w:hint="eastAsia" w:ascii="宋体" w:hAnsi="宋体"/>
                <w:b w:val="0"/>
                <w:bCs/>
                <w:sz w:val="21"/>
                <w:szCs w:val="21"/>
                <w:lang w:val="en-US" w:eastAsia="zh-CN"/>
              </w:rPr>
              <w:t>1</w:t>
            </w:r>
            <w:r>
              <w:rPr>
                <w:rFonts w:hint="default" w:ascii="宋体" w:hAnsi="宋体"/>
                <w:b w:val="0"/>
                <w:bCs/>
                <w:sz w:val="21"/>
                <w:szCs w:val="21"/>
                <w:lang w:val="en-US" w:eastAsia="zh-CN"/>
              </w:rPr>
              <w:t>月所有目标均已完成。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保持《管理手册》A/1版，总经理变更为罗建春，管理者代表变更为黄冬平，其他无变化，于2021年1月1日实施；</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保持程序文件26个，版本号：A/0，无变化；</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搅拌车操作规程、臂架泵/地泵操作规程等10余个；</w:t>
            </w:r>
          </w:p>
          <w:p>
            <w:pPr>
              <w:spacing w:line="360" w:lineRule="auto"/>
              <w:ind w:firstLine="420" w:firstLineChars="200"/>
              <w:rPr>
                <w:rFonts w:hint="eastAsia" w:ascii="宋体" w:hAnsi="宋体"/>
                <w:b w:val="0"/>
                <w:bCs/>
                <w:sz w:val="21"/>
                <w:szCs w:val="21"/>
                <w:lang w:val="en-US" w:eastAsia="zh-CN"/>
              </w:rPr>
            </w:pPr>
            <w:r>
              <w:rPr>
                <w:rFonts w:hint="eastAsia" w:ascii="宋体" w:hAnsi="宋体"/>
                <w:b w:val="0"/>
                <w:bCs/>
                <w:sz w:val="21"/>
                <w:szCs w:val="21"/>
                <w:lang w:val="en-US" w:eastAsia="zh-CN"/>
              </w:rPr>
              <w:t>材料管理制度、车辆综合考评办法、办公室管理规定、印章管理制度等若干；</w:t>
            </w:r>
          </w:p>
          <w:p>
            <w:pPr>
              <w:spacing w:line="360" w:lineRule="auto"/>
              <w:ind w:firstLine="396" w:firstLineChars="200"/>
              <w:rPr>
                <w:rFonts w:hint="default" w:ascii="宋体" w:hAnsi="宋体" w:eastAsia="宋体"/>
                <w:b/>
                <w:sz w:val="21"/>
                <w:szCs w:val="21"/>
                <w:lang w:val="en-US" w:eastAsia="zh-CN"/>
              </w:rPr>
            </w:pPr>
            <w:r>
              <w:rPr>
                <w:rFonts w:hint="eastAsia" w:ascii="宋体" w:hAnsi="宋体" w:cs="Arial"/>
                <w:spacing w:val="-6"/>
                <w:sz w:val="21"/>
                <w:szCs w:val="21"/>
                <w:lang w:val="en-US" w:eastAsia="zh-CN"/>
              </w:rPr>
              <w:t>审核过程发现文件和记录有编审批，标识清晰，保管得当，检索便利，易于获取</w:t>
            </w:r>
            <w:r>
              <w:rPr>
                <w:rFonts w:hint="eastAsia" w:ascii="宋体" w:hAnsi="宋体"/>
                <w:b w:val="0"/>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adjustRightInd w:val="0"/>
              <w:snapToGrid w:val="0"/>
              <w:spacing w:line="360" w:lineRule="auto"/>
              <w:ind w:right="120"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公司现有人员47人，其中持证实验人员7人，持证装载机操作人员1人，持证电工1人，持证焊工2人。</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保留“2020年度培训计划”，计划举办管理体系内审员培训、环境、安全法律法规的培训、岗位技能培训等8项次；</w:t>
            </w:r>
          </w:p>
          <w:p>
            <w:pPr>
              <w:adjustRightInd w:val="0"/>
              <w:snapToGrid w:val="0"/>
              <w:spacing w:line="360" w:lineRule="auto"/>
              <w:ind w:right="120"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lang w:val="en-US" w:eastAsia="zh-CN"/>
              </w:rPr>
              <w:t>保留“培训记录及培训效果评价表”，计划培训项目均已执行，通过口试进行考核，进行了培训有效性评价。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hint="default" w:ascii="宋体" w:hAnsi="宋体" w:eastAsia="宋体"/>
                <w:b/>
                <w:sz w:val="21"/>
                <w:szCs w:val="21"/>
                <w:lang w:val="en-US" w:eastAsia="zh-CN"/>
              </w:rPr>
            </w:pPr>
            <w:r>
              <w:rPr>
                <w:rFonts w:hint="eastAsia" w:ascii="宋体" w:hAnsi="宋体"/>
                <w:b w:val="0"/>
                <w:bCs/>
                <w:sz w:val="21"/>
                <w:szCs w:val="21"/>
              </w:rPr>
              <w:t>4方机二套（进口）全自动生产线，自备发电机组两台以及混凝土专项试验设备一套，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停车场地面水洗清洁，未出场车辆停放整齐有序、搅拌车罐装完成后，经过水洗台清洁后出场；</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水泥罐区全封闭，无明显粉尘，作业人员带安全帽和口罩；</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其他本次审核未安排。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default" w:ascii="宋体" w:hAnsi="宋体"/>
                <w:b/>
                <w:sz w:val="21"/>
                <w:szCs w:val="21"/>
                <w:lang w:val="en-US"/>
              </w:rPr>
            </w:pPr>
            <w:r>
              <w:rPr>
                <w:rFonts w:hint="eastAsia" w:ascii="宋体" w:hAnsi="宋体" w:cs="Arial"/>
                <w:spacing w:val="-6"/>
                <w:sz w:val="21"/>
                <w:szCs w:val="21"/>
                <w:lang w:val="en-US" w:eastAsia="zh-CN"/>
              </w:rPr>
              <w:t>压力表和安全阀有定期检测，附检测报告。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公司管理手册中明确了知识来源包括：</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a）内部来源，知识产权；经历；从失败和成功项目得到的经验教训；得到和分享未形成文件的知识和经验，过程、产品和服务的改进结果；</w:t>
            </w:r>
          </w:p>
          <w:p>
            <w:pPr>
              <w:adjustRightInd w:val="0"/>
              <w:snapToGrid w:val="0"/>
              <w:spacing w:line="360" w:lineRule="auto"/>
              <w:ind w:right="120" w:rightChars="50" w:firstLine="396" w:firstLineChars="200"/>
              <w:textAlignment w:val="baseline"/>
              <w:rPr>
                <w:rFonts w:hint="default" w:ascii="宋体" w:hAnsi="宋体" w:eastAsia="宋体" w:cs="Arial"/>
                <w:spacing w:val="-6"/>
                <w:sz w:val="21"/>
                <w:szCs w:val="21"/>
                <w:lang w:val="en-US" w:eastAsia="zh-CN"/>
              </w:rPr>
            </w:pPr>
            <w:r>
              <w:rPr>
                <w:rFonts w:hint="eastAsia" w:ascii="宋体" w:hAnsi="宋体" w:cs="Arial"/>
                <w:spacing w:val="-6"/>
                <w:sz w:val="21"/>
                <w:szCs w:val="21"/>
                <w:lang w:val="en-US" w:eastAsia="zh-CN"/>
              </w:rPr>
              <w:t>b）外部来源，标准；学术交流；专业会议，从顾客或外部供方收集的知识。</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rPr>
            </w:pPr>
            <w:r>
              <w:rPr>
                <w:rFonts w:hint="eastAsia" w:ascii="宋体" w:hAnsi="宋体" w:cs="Arial"/>
                <w:spacing w:val="-6"/>
                <w:sz w:val="21"/>
                <w:szCs w:val="21"/>
              </w:rPr>
              <w:t>公司各部门按照职责从内外部各种渠道获得与其职责相关所需的知识，包括操作规程、管理技巧与经验、失败和事故的案例分析、科研成果等知识产权等；把知识形成各种规章制度用于指导公司的日常工作和管理，包括体系文件、支持性文件、各种记录表单。</w:t>
            </w:r>
          </w:p>
          <w:p>
            <w:pPr>
              <w:spacing w:line="240" w:lineRule="exact"/>
              <w:ind w:firstLine="396" w:firstLineChars="200"/>
              <w:rPr>
                <w:rFonts w:ascii="宋体" w:hAnsi="宋体"/>
                <w:b/>
                <w:sz w:val="21"/>
                <w:szCs w:val="21"/>
              </w:rPr>
            </w:pPr>
            <w:r>
              <w:rPr>
                <w:rFonts w:hint="eastAsia" w:ascii="宋体" w:hAnsi="宋体" w:cs="Arial"/>
                <w:spacing w:val="-6"/>
                <w:sz w:val="21"/>
                <w:szCs w:val="21"/>
                <w:lang w:val="en-US" w:eastAsia="zh-CN"/>
              </w:rPr>
              <w:t>天眼查询系统查见公司拥有实用新型专利5项，1项发明授权专利。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环保设施：</w:t>
            </w:r>
          </w:p>
          <w:p>
            <w:pPr>
              <w:spacing w:line="240" w:lineRule="exact"/>
              <w:rPr>
                <w:rFonts w:hint="default" w:ascii="宋体" w:hAnsi="宋体"/>
                <w:b/>
                <w:sz w:val="21"/>
                <w:szCs w:val="21"/>
                <w:lang w:val="en-US"/>
              </w:rPr>
            </w:pPr>
            <w:r>
              <w:rPr>
                <w:rFonts w:hint="eastAsia" w:ascii="宋体" w:hAnsi="宋体" w:cs="Arial"/>
                <w:spacing w:val="-6"/>
                <w:sz w:val="21"/>
                <w:szCs w:val="21"/>
                <w:lang w:val="en-US" w:eastAsia="zh-CN"/>
              </w:rPr>
              <w:t>布袋除尘器、喷淋系统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default" w:ascii="宋体" w:hAnsi="宋体"/>
                <w:b/>
                <w:sz w:val="21"/>
                <w:szCs w:val="21"/>
                <w:lang w:val="en-US"/>
              </w:rPr>
            </w:pPr>
            <w:r>
              <w:rPr>
                <w:rFonts w:hint="eastAsia" w:ascii="宋体" w:hAnsi="宋体"/>
                <w:b w:val="0"/>
                <w:bCs/>
                <w:sz w:val="21"/>
                <w:szCs w:val="21"/>
                <w:lang w:val="en-US" w:eastAsia="zh-CN"/>
              </w:rPr>
              <w:t>消防器材、警示标识、</w:t>
            </w:r>
            <w:bookmarkStart w:id="25" w:name="_GoBack"/>
            <w:bookmarkEnd w:id="25"/>
            <w:r>
              <w:rPr>
                <w:rFonts w:hint="eastAsia" w:ascii="宋体" w:hAnsi="宋体"/>
                <w:b w:val="0"/>
                <w:bCs/>
                <w:sz w:val="21"/>
                <w:szCs w:val="21"/>
                <w:lang w:val="en-US" w:eastAsia="zh-CN"/>
              </w:rPr>
              <w:t>防护装置、劳防用品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60" w:lineRule="auto"/>
              <w:ind w:left="1" w:firstLine="396" w:firstLineChars="200"/>
              <w:rPr>
                <w:rFonts w:hint="eastAsia" w:ascii="宋体" w:hAnsi="宋体"/>
                <w:b/>
                <w:sz w:val="21"/>
                <w:szCs w:val="21"/>
              </w:rPr>
            </w:pPr>
            <w:r>
              <w:rPr>
                <w:rFonts w:hint="eastAsia" w:ascii="宋体" w:hAnsi="宋体" w:cs="Arial"/>
                <w:spacing w:val="-6"/>
                <w:sz w:val="21"/>
                <w:szCs w:val="21"/>
              </w:rPr>
              <w:t>方针符合组织的宗旨，一体化管理方针形成文件传达到全体员工，确保得到有效控制，使全体员工正确理解并坚决执行，且应定期对其适宜性进行评审。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内部沟通的情况：内部沟通方式：借助于会议、电话、口头交流等方式使全体员工达到沟通和理解</w:t>
            </w:r>
          </w:p>
          <w:p>
            <w:pPr>
              <w:spacing w:line="240" w:lineRule="exact"/>
              <w:ind w:firstLine="1687" w:firstLineChars="800"/>
              <w:rPr>
                <w:rFonts w:hint="eastAsia" w:ascii="宋体" w:hAnsi="宋体" w:eastAsia="宋体"/>
                <w:b/>
                <w:sz w:val="21"/>
                <w:szCs w:val="21"/>
                <w:lang w:val="en-US" w:eastAsia="zh-CN"/>
              </w:rPr>
            </w:pPr>
            <w:r>
              <w:rPr>
                <w:rFonts w:hint="eastAsia" w:ascii="宋体" w:hAnsi="宋体"/>
                <w:b/>
                <w:sz w:val="21"/>
                <w:szCs w:val="21"/>
              </w:rPr>
              <w:t>内部沟通的效果：</w:t>
            </w:r>
            <w:r>
              <w:rPr>
                <w:rFonts w:hint="eastAsia" w:ascii="宋体" w:hAnsi="宋体"/>
                <w:b/>
                <w:sz w:val="21"/>
                <w:szCs w:val="21"/>
                <w:lang w:val="en-US" w:eastAsia="zh-CN"/>
              </w:rPr>
              <w:t>有效。</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组织对外联络，关注顾客的感受情况（</w:t>
            </w:r>
            <w:r>
              <w:rPr>
                <w:rFonts w:ascii="宋体" w:hAnsi="宋体"/>
                <w:b/>
                <w:sz w:val="21"/>
                <w:szCs w:val="21"/>
              </w:rPr>
              <w:t>QMS</w:t>
            </w:r>
            <w:r>
              <w:rPr>
                <w:rFonts w:hint="eastAsia" w:ascii="宋体" w:hAnsi="宋体"/>
                <w:b/>
                <w:sz w:val="21"/>
                <w:szCs w:val="21"/>
              </w:rPr>
              <w:t>）：顾客满意度评价、合同等</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行政部按建立的信息交流、协商和沟通控制程序及公司合规义务的要求，就三标一体化管理体系的相关信息进行外部信息交流，与进入工作场所的承包方和其他访问者进行沟通；接收、记录和回应来自外部相关方的相关沟通。</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r>
              <w:rPr>
                <w:rFonts w:hint="eastAsia" w:ascii="宋体" w:hAnsi="宋体"/>
                <w:b/>
                <w:sz w:val="21"/>
                <w:szCs w:val="21"/>
                <w:lang w:val="en-US" w:eastAsia="zh-CN"/>
              </w:rPr>
              <w:t>相关方告知书、张贴警示标记</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填写）：确定职业健康安全事务代表是</w:t>
            </w:r>
            <w:r>
              <w:rPr>
                <w:rFonts w:hint="eastAsia" w:ascii="宋体" w:hAnsi="宋体"/>
                <w:b/>
                <w:sz w:val="21"/>
                <w:szCs w:val="21"/>
                <w:lang w:val="en-US" w:eastAsia="zh-CN"/>
              </w:rPr>
              <w:t>胡艳青</w:t>
            </w:r>
            <w:r>
              <w:rPr>
                <w:rFonts w:hint="eastAsia" w:ascii="宋体" w:hAnsi="宋体"/>
                <w:b/>
                <w:sz w:val="21"/>
                <w:szCs w:val="21"/>
              </w:rPr>
              <w:t>，参与公司的职业健康安全事务。相关人员能够适当参与并协商办理公司经营管理及安全事务等工作。</w:t>
            </w:r>
          </w:p>
          <w:p>
            <w:pPr>
              <w:spacing w:line="240" w:lineRule="exact"/>
              <w:rPr>
                <w:rFonts w:ascii="宋体" w:hAnsi="宋体"/>
                <w:b/>
                <w:sz w:val="21"/>
                <w:szCs w:val="21"/>
              </w:rPr>
            </w:pPr>
          </w:p>
          <w:p>
            <w:pPr>
              <w:spacing w:line="240" w:lineRule="exact"/>
              <w:rPr>
                <w:rFonts w:hint="default" w:ascii="宋体" w:hAnsi="宋体" w:eastAsia="宋体"/>
                <w:b/>
                <w:sz w:val="21"/>
                <w:szCs w:val="21"/>
                <w:lang w:val="en-US" w:eastAsia="zh-CN"/>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填写）：与相关方就有关职业健康安全事务进行协商</w:t>
            </w:r>
            <w:r>
              <w:rPr>
                <w:rFonts w:hint="eastAsia" w:ascii="宋体" w:hAnsi="宋体"/>
                <w:b/>
                <w:sz w:val="21"/>
                <w:szCs w:val="21"/>
                <w:lang w:eastAsia="zh-CN"/>
              </w:rPr>
              <w:t>，</w:t>
            </w:r>
            <w:r>
              <w:rPr>
                <w:rFonts w:hint="eastAsia" w:ascii="宋体" w:hAnsi="宋体"/>
                <w:b/>
                <w:sz w:val="21"/>
                <w:szCs w:val="21"/>
                <w:lang w:val="en-US" w:eastAsia="zh-CN"/>
              </w:rPr>
              <w:t>保留相关方告知书。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策划了</w:t>
            </w:r>
            <w:r>
              <w:rPr>
                <w:rFonts w:hint="default" w:ascii="宋体" w:hAnsi="宋体" w:cs="Arial"/>
                <w:spacing w:val="-6"/>
                <w:sz w:val="21"/>
                <w:szCs w:val="21"/>
                <w:lang w:val="en-US" w:eastAsia="zh-CN"/>
              </w:rPr>
              <w:t>产品生产工艺/服务提供流程：</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购货（需方）单位提出委托和混凝土质量技术要求→双方签订供需合同并明确双方责任→下达生产任务→混凝土配合比、依据配合比备料、进行原材料检验→测砂石含水率、调整砂石和用水量、调整好的配合比输入微机→按配合比要求计量（称重）△→搅拌（定时控制）△→出料（测塌落度、制作试块）→装入罐车→运输（至需方指定地点）</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default" w:ascii="宋体" w:hAnsi="宋体" w:cs="Arial"/>
                <w:spacing w:val="-6"/>
                <w:sz w:val="21"/>
                <w:szCs w:val="21"/>
                <w:lang w:val="en-US" w:eastAsia="zh-CN"/>
              </w:rPr>
              <w:t>关键过程识别</w:t>
            </w:r>
            <w:r>
              <w:rPr>
                <w:rFonts w:hint="eastAsia" w:ascii="宋体" w:hAnsi="宋体" w:cs="Arial"/>
                <w:spacing w:val="-6"/>
                <w:sz w:val="21"/>
                <w:szCs w:val="21"/>
                <w:lang w:val="en-US" w:eastAsia="zh-CN"/>
              </w:rPr>
              <w:t>为：</w:t>
            </w:r>
            <w:r>
              <w:rPr>
                <w:rFonts w:hint="default" w:ascii="宋体" w:hAnsi="宋体" w:cs="Arial"/>
                <w:spacing w:val="-6"/>
                <w:sz w:val="21"/>
                <w:szCs w:val="21"/>
                <w:lang w:val="en-US" w:eastAsia="zh-CN"/>
              </w:rPr>
              <w:t>按配合比要求计量（称重）和搅拌（定时控制）</w:t>
            </w:r>
            <w:r>
              <w:rPr>
                <w:rFonts w:hint="eastAsia" w:ascii="宋体" w:hAnsi="宋体" w:cs="Arial"/>
                <w:spacing w:val="-6"/>
                <w:sz w:val="21"/>
                <w:szCs w:val="21"/>
                <w:lang w:val="en-US" w:eastAsia="zh-CN"/>
              </w:rPr>
              <w:t>；</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需要确认的过程为配合比工序、搅拌工序；</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特殊过程确认单”：对配合比工序、搅拌工序确认了操作人员、设备、工艺标准、原材料名称等，记录了确认情况-有挤出作业指导书、针对设备编制了搅拌机操作规程、员工能力确认、生产过程按要求进行等。确认结论：情况属实、可按经确认的要求操作。</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生产部根据工地申报的需求量制定第2天的生产计划，发送至ERP系统，调度根据计划下达第二天的调度指令，传送至机台品控，根据实验室出具的配比报告，结合原材料情况调好配比，机操进行配料；搅拌；搅拌运输车罐装，运输至工地，</w:t>
            </w:r>
            <w:r>
              <w:rPr>
                <w:rFonts w:hint="eastAsia" w:ascii="宋体" w:hAnsi="宋体"/>
                <w:sz w:val="20"/>
                <w:szCs w:val="20"/>
              </w:rPr>
              <w:t>进</w:t>
            </w:r>
            <w:r>
              <w:rPr>
                <w:rFonts w:hint="eastAsia" w:ascii="宋体" w:hAnsi="宋体" w:cs="Arial"/>
                <w:spacing w:val="-6"/>
                <w:sz w:val="21"/>
                <w:szCs w:val="21"/>
                <w:lang w:val="en-US" w:eastAsia="zh-CN"/>
              </w:rPr>
              <w:t>行生产加工、质量及管理工作协调。</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通过原材料检验、生产过程检验、成品检验等过程对产品质量等进行监控。</w:t>
            </w:r>
          </w:p>
          <w:p>
            <w:pPr>
              <w:spacing w:line="360" w:lineRule="auto"/>
              <w:ind w:firstLine="396" w:firstLineChars="200"/>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公司按照制定的程序、规程、管理制度等文件对产品的采购过程、配比过程、搅拌过程、罐装过程等过程实施了过程控制。效果明显，未发生质量纠纷。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策划了</w:t>
            </w:r>
            <w:r>
              <w:rPr>
                <w:rFonts w:hint="default" w:ascii="宋体" w:hAnsi="宋体" w:cs="Arial"/>
                <w:spacing w:val="-6"/>
                <w:sz w:val="21"/>
                <w:szCs w:val="21"/>
                <w:lang w:val="en-US" w:eastAsia="zh-CN"/>
              </w:rPr>
              <w:t>接收准则:依据验收交付规范、合同、相关标准、用户要求等进行接收，以保证交付的产品满足要求</w:t>
            </w:r>
            <w:r>
              <w:rPr>
                <w:rFonts w:hint="eastAsia" w:ascii="宋体" w:hAnsi="宋体" w:cs="Arial"/>
                <w:spacing w:val="-6"/>
                <w:sz w:val="21"/>
                <w:szCs w:val="21"/>
                <w:lang w:val="en-US" w:eastAsia="zh-CN"/>
              </w:rPr>
              <w:t>。执行标准：</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预拌混凝土GB14902</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混凝土质量控制标准GB50164</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混凝土强度检验评定标准GB/T 50107</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普通混凝土配合比设计规程JGJ55-2011</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普通混凝土拌和物性能试验方法标准GB/T50080</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普通混凝土力学性能试验方法标准GB/T50081-2002</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普通混凝土长期性能和耐久性能试验方法标准GB/T50082</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混凝土外加剂GB8076-2008</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水泥GB175-2007</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细砂和碎石JGJ52-2006</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粉煤灰GB/T1596-2017</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矿渣粉GB/T18046-2017</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策划了相应的</w:t>
            </w:r>
            <w:r>
              <w:rPr>
                <w:rFonts w:hint="default" w:ascii="宋体" w:hAnsi="宋体" w:cs="Arial"/>
                <w:spacing w:val="-6"/>
                <w:sz w:val="21"/>
                <w:szCs w:val="21"/>
                <w:lang w:val="en-US" w:eastAsia="zh-CN"/>
              </w:rPr>
              <w:t>记录</w:t>
            </w:r>
            <w:r>
              <w:rPr>
                <w:rFonts w:hint="eastAsia" w:ascii="宋体" w:hAnsi="宋体" w:cs="Arial"/>
                <w:spacing w:val="-6"/>
                <w:sz w:val="21"/>
                <w:szCs w:val="21"/>
                <w:lang w:val="en-US" w:eastAsia="zh-CN"/>
              </w:rPr>
              <w:t>，以证明过程满足策划要求</w:t>
            </w:r>
            <w:r>
              <w:rPr>
                <w:rFonts w:hint="default" w:ascii="宋体" w:hAnsi="宋体" w:cs="Arial"/>
                <w:spacing w:val="-6"/>
                <w:sz w:val="21"/>
                <w:szCs w:val="21"/>
                <w:lang w:val="en-US" w:eastAsia="zh-CN"/>
              </w:rPr>
              <w:t>：策划有委托设计合同、内部审核检查表、首末次会议记录、特殊过程确认记录、生产过程记录、检验记录等，基本满足产品实现需要。</w:t>
            </w:r>
          </w:p>
          <w:p>
            <w:pPr>
              <w:adjustRightInd w:val="0"/>
              <w:snapToGrid w:val="0"/>
              <w:spacing w:line="360" w:lineRule="auto"/>
              <w:ind w:right="120" w:rightChars="50" w:firstLine="400" w:firstLineChars="200"/>
              <w:textAlignment w:val="baseline"/>
              <w:rPr>
                <w:rFonts w:ascii="宋体" w:hAnsi="宋体"/>
                <w:b/>
                <w:sz w:val="21"/>
                <w:szCs w:val="21"/>
              </w:rPr>
            </w:pPr>
            <w:r>
              <w:rPr>
                <w:rFonts w:hint="eastAsia"/>
                <w:b w:val="0"/>
                <w:bCs/>
                <w:color w:val="000000" w:themeColor="text1"/>
                <w:sz w:val="20"/>
                <w:szCs w:val="20"/>
                <w:lang w:val="en-US" w:eastAsia="zh-CN"/>
              </w:rPr>
              <w:t>产品原材料和成品经过检验，质量满足顾客要求。</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default" w:ascii="宋体" w:hAnsi="宋体" w:cs="Arial"/>
                <w:spacing w:val="-6"/>
                <w:sz w:val="21"/>
                <w:szCs w:val="21"/>
                <w:lang w:val="en-US" w:eastAsia="zh-CN"/>
              </w:rPr>
              <w:t>提供的《不合格品控制程序》中规定了对不合格品的标识、记录、隔离、记录和处置的控制要求。采购检验中发现的不合格，要求做好相应的标识，并及时通知采购人员作退/换货处理，生产过程和产品检验过程中发现的少量不合格品作重新配比或报废处理，批量的不合格品要求填写“不合格处理单”，记录不合格品名称、规格/型号、数量、不合格事实、评审处置措施，验证结果等。</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cs="Arial"/>
                <w:spacing w:val="-6"/>
                <w:sz w:val="21"/>
                <w:szCs w:val="21"/>
                <w:lang w:val="en-US" w:eastAsia="zh-CN"/>
              </w:rPr>
              <w:t>介绍说，在生产过程中发现不合格，进行重新调配，添加原材料，确保标号；出场后发现的不合格，返场，调整，降低标号。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粉尘——</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混料机上部有集尘抽风系统经布袋除尘器处理后15米高空排放，查看布袋除尘器运转正常，废的颗粒包装袋集中堆放；</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楼顶设置喷雾系统，每间隔一小时喷淋一次，降尘；</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废水——</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废水通过排水沟进入沉淀池，沉淀后经市政管网排放；</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固废——</w:t>
            </w:r>
          </w:p>
          <w:p>
            <w:pPr>
              <w:adjustRightInd w:val="0"/>
              <w:snapToGrid w:val="0"/>
              <w:spacing w:line="360" w:lineRule="auto"/>
              <w:ind w:right="120" w:rightChars="50" w:firstLine="396" w:firstLineChars="200"/>
              <w:textAlignment w:val="baseline"/>
              <w:rPr>
                <w:rFonts w:hint="default" w:ascii="宋体" w:hAnsi="宋体" w:cs="Arial"/>
                <w:spacing w:val="-6"/>
                <w:sz w:val="21"/>
                <w:szCs w:val="21"/>
                <w:lang w:val="en-US" w:eastAsia="zh-CN"/>
              </w:rPr>
            </w:pPr>
            <w:r>
              <w:rPr>
                <w:rFonts w:hint="eastAsia" w:ascii="宋体" w:hAnsi="宋体" w:cs="Arial"/>
                <w:spacing w:val="-6"/>
                <w:sz w:val="21"/>
                <w:szCs w:val="21"/>
                <w:lang w:val="en-US" w:eastAsia="zh-CN"/>
              </w:rPr>
              <w:t>一般固废回收利用，少量废机油介绍说由供应商以旧换新。</w:t>
            </w:r>
          </w:p>
          <w:p>
            <w:pPr>
              <w:adjustRightInd w:val="0"/>
              <w:snapToGrid w:val="0"/>
              <w:spacing w:line="360" w:lineRule="auto"/>
              <w:ind w:right="120" w:rightChars="50" w:firstLine="396" w:firstLineChars="200"/>
              <w:textAlignment w:val="baseline"/>
              <w:rPr>
                <w:rFonts w:hint="eastAsia" w:ascii="宋体" w:hAnsi="宋体" w:cs="Arial"/>
                <w:spacing w:val="-6"/>
                <w:sz w:val="21"/>
                <w:szCs w:val="21"/>
                <w:lang w:val="en-US" w:eastAsia="zh-CN"/>
              </w:rPr>
            </w:pPr>
            <w:r>
              <w:rPr>
                <w:rFonts w:hint="eastAsia" w:ascii="宋体" w:hAnsi="宋体" w:cs="Arial"/>
                <w:spacing w:val="-6"/>
                <w:sz w:val="21"/>
                <w:szCs w:val="21"/>
                <w:lang w:val="en-US" w:eastAsia="zh-CN"/>
              </w:rPr>
              <w:t>噪声——</w:t>
            </w:r>
          </w:p>
          <w:p>
            <w:pPr>
              <w:adjustRightInd w:val="0"/>
              <w:snapToGrid w:val="0"/>
              <w:spacing w:line="360" w:lineRule="auto"/>
              <w:ind w:right="120" w:rightChars="50" w:firstLine="396" w:firstLineChars="200"/>
              <w:textAlignment w:val="baseline"/>
              <w:rPr>
                <w:rFonts w:ascii="宋体" w:hAnsi="宋体"/>
                <w:b/>
                <w:sz w:val="21"/>
                <w:szCs w:val="21"/>
              </w:rPr>
            </w:pPr>
            <w:r>
              <w:rPr>
                <w:rFonts w:hint="eastAsia" w:ascii="宋体" w:hAnsi="宋体" w:cs="Arial"/>
                <w:spacing w:val="-6"/>
                <w:sz w:val="21"/>
                <w:szCs w:val="21"/>
                <w:lang w:val="en-US" w:eastAsia="zh-CN"/>
              </w:rPr>
              <w:t>生产车间用彩钢瓦封闭，厂房内操作和选用低噪声的设备和工具，同时加强设备的检查和维保，确保机械设备在正常工况下运行，噪声能达标排放。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p>
            <w:pPr>
              <w:spacing w:line="240" w:lineRule="exact"/>
              <w:ind w:firstLine="396" w:firstLineChars="200"/>
              <w:rPr>
                <w:rFonts w:hint="eastAsia" w:ascii="宋体" w:hAnsi="宋体"/>
                <w:b/>
                <w:sz w:val="21"/>
                <w:szCs w:val="21"/>
              </w:rPr>
            </w:pPr>
            <w:r>
              <w:rPr>
                <w:rFonts w:hint="eastAsia" w:ascii="宋体" w:hAnsi="宋体" w:cs="Arial"/>
                <w:spacing w:val="-6"/>
                <w:sz w:val="21"/>
                <w:szCs w:val="21"/>
                <w:lang w:val="en-US" w:eastAsia="zh-CN"/>
              </w:rPr>
              <w:t>不可接受风险包括：触电、运输汽车事故等控制有效，从未发生任何事故。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400" w:firstLineChars="200"/>
              <w:rPr>
                <w:rFonts w:hint="eastAsia"/>
                <w:b w:val="0"/>
                <w:bCs/>
                <w:color w:val="000000" w:themeColor="text1"/>
                <w:sz w:val="20"/>
                <w:szCs w:val="20"/>
                <w:lang w:val="en-US" w:eastAsia="zh-CN"/>
              </w:rPr>
            </w:pPr>
            <w:r>
              <w:rPr>
                <w:rFonts w:hint="eastAsia"/>
                <w:b w:val="0"/>
                <w:bCs/>
                <w:color w:val="000000" w:themeColor="text1"/>
                <w:sz w:val="20"/>
                <w:szCs w:val="20"/>
                <w:lang w:val="en-US" w:eastAsia="zh-CN"/>
              </w:rPr>
              <w:t>编制了《应急准备和响应程序》，建立了火灾、爆炸应急预案、生产车间中毒、梅雨、雷电等恶劣天气应急预案、机械伤害应急预案等应急预案，由生产部组织演练，提供了应急预案演习记录，并对有效性做评价。</w:t>
            </w:r>
          </w:p>
          <w:p>
            <w:pPr>
              <w:ind w:firstLine="400" w:firstLineChars="200"/>
              <w:rPr>
                <w:rFonts w:ascii="宋体" w:hAnsi="宋体"/>
                <w:b/>
                <w:sz w:val="21"/>
                <w:szCs w:val="21"/>
              </w:rPr>
            </w:pPr>
            <w:r>
              <w:rPr>
                <w:rFonts w:hint="eastAsia"/>
                <w:b w:val="0"/>
                <w:bCs/>
                <w:color w:val="000000" w:themeColor="text1"/>
                <w:sz w:val="20"/>
                <w:szCs w:val="20"/>
                <w:lang w:val="en-US" w:eastAsia="zh-CN"/>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ind w:firstLine="422" w:firstLineChars="200"/>
              <w:rPr>
                <w:rFonts w:hint="default"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400" w:firstLineChars="200"/>
              <w:rPr>
                <w:rFonts w:hint="eastAsia"/>
                <w:b w:val="0"/>
                <w:bCs/>
                <w:color w:val="000000" w:themeColor="text1"/>
                <w:sz w:val="20"/>
                <w:szCs w:val="20"/>
                <w:lang w:val="en-US" w:eastAsia="zh-CN"/>
              </w:rPr>
            </w:pPr>
            <w:r>
              <w:rPr>
                <w:rFonts w:hint="eastAsia"/>
                <w:b w:val="0"/>
                <w:bCs/>
                <w:color w:val="000000" w:themeColor="text1"/>
                <w:sz w:val="20"/>
                <w:szCs w:val="20"/>
                <w:lang w:val="en-US" w:eastAsia="zh-CN"/>
              </w:rPr>
              <w:t>对质量/环境/职业健康安全目标进行年度考核，各部门均完成；</w:t>
            </w:r>
          </w:p>
          <w:p>
            <w:pPr>
              <w:ind w:firstLine="400" w:firstLineChars="200"/>
              <w:rPr>
                <w:rFonts w:ascii="宋体" w:hAnsi="宋体"/>
                <w:b/>
                <w:sz w:val="21"/>
                <w:szCs w:val="21"/>
              </w:rPr>
            </w:pPr>
            <w:r>
              <w:rPr>
                <w:rFonts w:hint="eastAsia"/>
                <w:b w:val="0"/>
                <w:bCs/>
                <w:color w:val="000000" w:themeColor="text1"/>
                <w:sz w:val="20"/>
                <w:szCs w:val="20"/>
                <w:lang w:val="en-US" w:eastAsia="zh-CN"/>
              </w:rPr>
              <w:t>行政部每月进行安全环境管理情况检查，结果均正常。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b/>
                <w:sz w:val="21"/>
                <w:szCs w:val="21"/>
              </w:rPr>
            </w:pPr>
            <w:r>
              <w:rPr>
                <w:rFonts w:ascii="宋体" w:hAnsi="宋体"/>
                <w:b/>
                <w:sz w:val="21"/>
                <w:szCs w:val="21"/>
              </w:rPr>
              <w:t>2.</w:t>
            </w:r>
            <w:r>
              <w:rPr>
                <w:rFonts w:hint="eastAsia" w:ascii="宋体" w:hAnsi="宋体"/>
                <w:b/>
                <w:sz w:val="21"/>
                <w:szCs w:val="21"/>
              </w:rPr>
              <w:t>顾客满意</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2020.6.21，通过电话代填写方式开展的顾客满意度调查表12份；</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2020年6月22日的《顾客满意度调查分析》，对顾客满意度指标完成情况、顾客建议改进方向等予以分析汇总，经评价测算客户满意度得分99.1%。</w:t>
            </w:r>
          </w:p>
          <w:p>
            <w:pPr>
              <w:adjustRightInd w:val="0"/>
              <w:snapToGrid w:val="0"/>
              <w:spacing w:line="360" w:lineRule="auto"/>
              <w:ind w:right="120" w:rightChars="50" w:firstLine="396" w:firstLineChars="200"/>
              <w:textAlignment w:val="baseline"/>
              <w:rPr>
                <w:rFonts w:hint="eastAsia" w:ascii="宋体" w:hAnsi="宋体"/>
                <w:b/>
                <w:sz w:val="21"/>
                <w:szCs w:val="21"/>
                <w:lang w:eastAsia="zh-CN"/>
              </w:rPr>
            </w:pPr>
            <w:r>
              <w:rPr>
                <w:rFonts w:hint="eastAsia" w:ascii="宋体" w:hAnsi="宋体" w:cs="Arial"/>
                <w:color w:val="auto"/>
                <w:spacing w:val="-6"/>
                <w:sz w:val="21"/>
                <w:szCs w:val="21"/>
                <w:lang w:val="en-US" w:eastAsia="zh-CN"/>
              </w:rPr>
              <w:t>企业对顾客满意度的调查、分析利用进行了策划并实施，基本符合标准条款的要求。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adjustRightInd w:val="0"/>
              <w:snapToGrid w:val="0"/>
              <w:spacing w:line="360" w:lineRule="auto"/>
              <w:ind w:right="120" w:rightChars="50" w:firstLine="396" w:firstLineChars="200"/>
              <w:textAlignment w:val="baseline"/>
              <w:rPr>
                <w:rFonts w:hint="eastAsia"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公司2020年8月10-11日开展了内审，内审覆盖全部门、全条款；</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保留了内审计划、检查表、内审报告、不符合项报告；</w:t>
            </w:r>
          </w:p>
          <w:p>
            <w:pPr>
              <w:adjustRightInd w:val="0"/>
              <w:snapToGrid w:val="0"/>
              <w:spacing w:line="360" w:lineRule="auto"/>
              <w:ind w:right="120" w:rightChars="50" w:firstLine="396" w:firstLineChars="200"/>
              <w:textAlignment w:val="baseline"/>
              <w:rPr>
                <w:rFonts w:hint="default" w:ascii="宋体" w:hAnsi="宋体" w:cs="Arial"/>
                <w:color w:val="auto"/>
                <w:spacing w:val="-6"/>
                <w:sz w:val="21"/>
                <w:szCs w:val="21"/>
                <w:lang w:val="en-US" w:eastAsia="zh-CN"/>
              </w:rPr>
            </w:pPr>
            <w:r>
              <w:rPr>
                <w:rFonts w:hint="default" w:ascii="宋体" w:hAnsi="宋体" w:cs="Arial"/>
                <w:color w:val="auto"/>
                <w:spacing w:val="-6"/>
                <w:sz w:val="21"/>
                <w:szCs w:val="21"/>
                <w:lang w:val="en-US" w:eastAsia="zh-CN"/>
              </w:rPr>
              <w:t>本次内审开具不符合报告</w:t>
            </w:r>
            <w:r>
              <w:rPr>
                <w:rFonts w:hint="eastAsia" w:ascii="宋体" w:hAnsi="宋体" w:cs="Arial"/>
                <w:color w:val="auto"/>
                <w:spacing w:val="-6"/>
                <w:sz w:val="21"/>
                <w:szCs w:val="21"/>
                <w:lang w:val="en-US" w:eastAsia="zh-CN"/>
              </w:rPr>
              <w:t>1</w:t>
            </w:r>
            <w:r>
              <w:rPr>
                <w:rFonts w:hint="default" w:ascii="宋体" w:hAnsi="宋体" w:cs="Arial"/>
                <w:color w:val="auto"/>
                <w:spacing w:val="-6"/>
                <w:sz w:val="21"/>
                <w:szCs w:val="21"/>
                <w:lang w:val="en-US" w:eastAsia="zh-CN"/>
              </w:rPr>
              <w:t>份，已整改，有整改验收记录；</w:t>
            </w:r>
          </w:p>
          <w:p>
            <w:pPr>
              <w:adjustRightInd w:val="0"/>
              <w:snapToGrid w:val="0"/>
              <w:spacing w:line="360" w:lineRule="auto"/>
              <w:ind w:right="120" w:rightChars="50" w:firstLine="396" w:firstLineChars="200"/>
              <w:textAlignment w:val="baseline"/>
              <w:rPr>
                <w:rFonts w:ascii="宋体" w:hAnsi="宋体"/>
                <w:b/>
                <w:sz w:val="21"/>
                <w:szCs w:val="21"/>
              </w:rPr>
            </w:pPr>
            <w:r>
              <w:rPr>
                <w:rFonts w:hint="default" w:ascii="宋体" w:hAnsi="宋体" w:cs="Arial"/>
                <w:color w:val="auto"/>
                <w:spacing w:val="-6"/>
                <w:sz w:val="21"/>
                <w:szCs w:val="21"/>
                <w:lang w:val="en-US" w:eastAsia="zh-CN"/>
              </w:rPr>
              <w:t>内审结论为：管理体系运行基本有效，运行达到一定的效果，基本符合标准要求。仍存在不足，各部门应举一反三，对类似问题予以整改。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adjustRightInd w:val="0"/>
              <w:snapToGrid w:val="0"/>
              <w:spacing w:line="360" w:lineRule="auto"/>
              <w:ind w:right="120"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2020年8月18日在会议室总经理主持了管理评审。保留有管理评审计划、管理评审会议通知、评审记录、评审报告和改进措施计划等；</w:t>
            </w:r>
          </w:p>
          <w:p>
            <w:pPr>
              <w:adjustRightInd w:val="0"/>
              <w:snapToGrid w:val="0"/>
              <w:spacing w:line="360" w:lineRule="auto"/>
              <w:ind w:right="120"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管理评审输入满足要求；</w:t>
            </w:r>
          </w:p>
          <w:p>
            <w:pPr>
              <w:adjustRightInd w:val="0"/>
              <w:snapToGrid w:val="0"/>
              <w:spacing w:line="360" w:lineRule="auto"/>
              <w:ind w:right="120"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管理评审结论：管理体系的建立和运行是充分的、适宜的、有效的。</w:t>
            </w:r>
          </w:p>
          <w:p>
            <w:pPr>
              <w:adjustRightInd w:val="0"/>
              <w:snapToGrid w:val="0"/>
              <w:spacing w:line="360" w:lineRule="auto"/>
              <w:ind w:right="120"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改进措施建议：</w:t>
            </w:r>
          </w:p>
          <w:p>
            <w:pPr>
              <w:adjustRightInd w:val="0"/>
              <w:snapToGrid w:val="0"/>
              <w:spacing w:line="360" w:lineRule="auto"/>
              <w:ind w:right="120" w:rightChars="50" w:firstLine="372"/>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1）对标准、《管理手册》、《程序文件》培训，使与管理体系有关的人员了解和掌握标准和本公司管理体系文件的内容，特别是应该提高内审员的水平和技巧；</w:t>
            </w:r>
          </w:p>
          <w:p>
            <w:pPr>
              <w:adjustRightInd w:val="0"/>
              <w:snapToGrid w:val="0"/>
              <w:spacing w:line="360" w:lineRule="auto"/>
              <w:ind w:right="120" w:rightChars="50" w:firstLine="372"/>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2）进一步组织对相关的法律、法规、规程和规范的学习；</w:t>
            </w:r>
          </w:p>
          <w:p>
            <w:pPr>
              <w:adjustRightInd w:val="0"/>
              <w:snapToGrid w:val="0"/>
              <w:spacing w:line="360" w:lineRule="auto"/>
              <w:ind w:right="120" w:rightChars="50" w:firstLine="372"/>
              <w:textAlignment w:val="baseline"/>
              <w:rPr>
                <w:rFonts w:hint="default" w:ascii="宋体" w:hAnsi="宋体" w:cs="Arial"/>
                <w:spacing w:val="-6"/>
                <w:sz w:val="21"/>
                <w:szCs w:val="21"/>
                <w:highlight w:val="none"/>
                <w:lang w:val="en-US" w:eastAsia="zh-CN"/>
              </w:rPr>
            </w:pPr>
            <w:r>
              <w:rPr>
                <w:rFonts w:hint="default" w:ascii="宋体" w:hAnsi="宋体" w:cs="Arial"/>
                <w:spacing w:val="-6"/>
                <w:sz w:val="21"/>
                <w:szCs w:val="21"/>
                <w:highlight w:val="none"/>
                <w:lang w:val="en-US" w:eastAsia="zh-CN"/>
              </w:rPr>
              <w:t>3）节能降耗，减少生产车间和办公区域资源能源和办公器材消耗量。</w:t>
            </w:r>
          </w:p>
          <w:p>
            <w:pPr>
              <w:adjustRightInd w:val="0"/>
              <w:snapToGrid w:val="0"/>
              <w:spacing w:line="360" w:lineRule="auto"/>
              <w:ind w:right="120" w:rightChars="50" w:firstLine="372"/>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制定有“管理评审改进措施计划”。</w:t>
            </w:r>
          </w:p>
          <w:p>
            <w:pPr>
              <w:adjustRightInd w:val="0"/>
              <w:snapToGrid w:val="0"/>
              <w:spacing w:line="360" w:lineRule="auto"/>
              <w:ind w:right="120" w:rightChars="50" w:firstLine="372"/>
              <w:textAlignment w:val="baseline"/>
              <w:rPr>
                <w:rFonts w:ascii="宋体" w:hAnsi="宋体"/>
                <w:b/>
                <w:sz w:val="21"/>
                <w:szCs w:val="21"/>
              </w:rPr>
            </w:pPr>
            <w:r>
              <w:rPr>
                <w:rFonts w:hint="eastAsia" w:ascii="宋体" w:hAnsi="宋体" w:cs="Arial"/>
                <w:spacing w:val="-6"/>
                <w:sz w:val="21"/>
                <w:szCs w:val="21"/>
                <w:highlight w:val="none"/>
                <w:lang w:val="en-US" w:eastAsia="zh-CN"/>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eastAsia" w:ascii="宋体" w:hAnsi="宋体"/>
                <w:b/>
                <w:sz w:val="21"/>
                <w:szCs w:val="21"/>
              </w:rPr>
            </w:pPr>
            <w:r>
              <w:rPr>
                <w:rFonts w:hint="eastAsia"/>
                <w:b w:val="0"/>
                <w:bCs/>
                <w:color w:val="000000" w:themeColor="text1"/>
                <w:sz w:val="20"/>
                <w:szCs w:val="20"/>
              </w:rPr>
              <w:t>2020年度三废监测合格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r>
              <w:rPr>
                <w:rFonts w:hint="eastAsia"/>
                <w:b w:val="0"/>
                <w:bCs/>
                <w:color w:val="000000" w:themeColor="text1"/>
                <w:sz w:val="20"/>
                <w:szCs w:val="20"/>
              </w:rPr>
              <w:t>见附件：环评报告、环评批复和年度环境检测记录。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r>
              <w:rPr>
                <w:rFonts w:hint="eastAsia"/>
                <w:b w:val="0"/>
                <w:bCs/>
                <w:color w:val="000000" w:themeColor="text1"/>
                <w:sz w:val="20"/>
                <w:szCs w:val="20"/>
                <w:lang w:val="en-US" w:eastAsia="zh-CN"/>
              </w:rPr>
              <w:t>进行了年度员工岗中职业健康体检；</w:t>
            </w:r>
            <w:r>
              <w:rPr>
                <w:rFonts w:hint="eastAsia" w:ascii="宋体" w:hAnsi="宋体" w:cs="Arial"/>
                <w:color w:val="auto"/>
                <w:spacing w:val="-6"/>
                <w:sz w:val="21"/>
                <w:szCs w:val="21"/>
                <w:highlight w:val="none"/>
                <w:lang w:val="en-US" w:eastAsia="zh-CN"/>
              </w:rPr>
              <w:t>建议对涉及粉尘、噪声等岗位员工进行职业危害体检</w:t>
            </w:r>
            <w:r>
              <w:rPr>
                <w:rFonts w:hint="eastAsia"/>
                <w:b w:val="0"/>
                <w:bCs/>
                <w:color w:val="000000" w:themeColor="text1"/>
                <w:sz w:val="20"/>
                <w:szCs w:val="20"/>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p>
          <w:p>
            <w:pPr>
              <w:widowControl/>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360" w:lineRule="auto"/>
              <w:rPr>
                <w:rFonts w:ascii="宋体" w:hAnsi="宋体"/>
                <w:b/>
                <w:sz w:val="21"/>
                <w:szCs w:val="21"/>
              </w:rPr>
            </w:pPr>
            <w:r>
              <w:rPr>
                <w:rFonts w:hint="eastAsia" w:ascii="宋体" w:hAnsi="宋体" w:cs="Arial"/>
                <w:spacing w:val="-6"/>
                <w:sz w:val="21"/>
                <w:szCs w:val="21"/>
                <w:highlight w:val="none"/>
                <w:lang w:val="en-US" w:eastAsia="zh-CN"/>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3. </w:t>
            </w:r>
            <w:r>
              <w:rPr>
                <w:rFonts w:hint="eastAsia" w:ascii="宋体" w:hAnsi="宋体"/>
                <w:b/>
                <w:sz w:val="21"/>
                <w:szCs w:val="21"/>
              </w:rPr>
              <w:t>创新情况</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w:t>
            </w:r>
          </w:p>
          <w:p>
            <w:pPr>
              <w:spacing w:line="240" w:lineRule="exact"/>
              <w:rPr>
                <w:rFonts w:hint="eastAsia" w:ascii="宋体" w:hAnsi="宋体"/>
                <w:b/>
                <w:sz w:val="21"/>
                <w:szCs w:val="21"/>
              </w:rPr>
            </w:pPr>
            <w:r>
              <w:rPr>
                <w:rFonts w:hint="eastAsia" w:ascii="宋体" w:hAnsi="宋体" w:cs="Arial"/>
                <w:spacing w:val="-6"/>
                <w:sz w:val="21"/>
                <w:szCs w:val="21"/>
                <w:highlight w:val="none"/>
                <w:lang w:val="en-US" w:eastAsia="zh-CN"/>
              </w:rPr>
              <w:t>上次审核时发现的问题，经此次监督审核现场验证已关闭，整改措施有效。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4</w:t>
      </w:r>
      <w:r>
        <w:rPr>
          <w:rFonts w:hint="eastAsia" w:ascii="宋体" w:hAnsi="宋体"/>
          <w:b/>
          <w:szCs w:val="21"/>
        </w:rPr>
        <w:t>项分布在</w:t>
      </w:r>
      <w:r>
        <w:rPr>
          <w:rFonts w:hint="eastAsia" w:ascii="宋体" w:hAnsi="宋体"/>
          <w:b/>
          <w:szCs w:val="21"/>
          <w:lang w:val="en-US" w:eastAsia="zh-CN"/>
        </w:rPr>
        <w:t>行政</w:t>
      </w:r>
      <w:r>
        <w:rPr>
          <w:rFonts w:hint="eastAsia" w:ascii="宋体" w:hAnsi="宋体"/>
          <w:b/>
          <w:szCs w:val="21"/>
        </w:rPr>
        <w:t>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40" w:lineRule="exact"/>
              <w:rPr>
                <w:rFonts w:ascii="宋体" w:hAnsi="宋体"/>
                <w:b/>
                <w:szCs w:val="21"/>
              </w:rPr>
            </w:pPr>
            <w:r>
              <w:rPr>
                <w:rFonts w:hint="eastAsia"/>
                <w:b/>
                <w:color w:val="000000" w:themeColor="text1"/>
                <w:spacing w:val="-10"/>
                <w:szCs w:val="21"/>
              </w:rPr>
              <w:sym w:font="Wingdings 2" w:char="0052"/>
            </w:r>
            <w:r>
              <w:rPr>
                <w:rFonts w:hint="eastAsia"/>
                <w:b/>
                <w:color w:val="000000" w:themeColor="text1"/>
                <w:sz w:val="22"/>
                <w:szCs w:val="22"/>
              </w:rPr>
              <w:t xml:space="preserve">QMS  </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OHSMS持续的符合性及运行的有效性，以及与认证范围的持续相关性和适宜性及自我完善机制等。</w:t>
            </w:r>
          </w:p>
          <w:p>
            <w:pPr>
              <w:spacing w:line="280" w:lineRule="exact"/>
              <w:rPr>
                <w:rFonts w:ascii="宋体" w:hAnsi="宋体"/>
                <w:b/>
                <w:szCs w:val="21"/>
              </w:rPr>
            </w:pPr>
          </w:p>
          <w:p>
            <w:pPr>
              <w:spacing w:line="240" w:lineRule="auto"/>
              <w:ind w:firstLine="482" w:firstLineChars="200"/>
              <w:rPr>
                <w:rFonts w:hint="default" w:ascii="宋体" w:hAnsi="宋体"/>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auto"/>
              <w:ind w:firstLine="482" w:firstLineChars="200"/>
              <w:rPr>
                <w:rFonts w:hint="eastAsia" w:ascii="宋体" w:hAnsi="宋体"/>
                <w:b/>
                <w:szCs w:val="21"/>
                <w:lang w:val="en-US" w:eastAsia="zh-CN"/>
              </w:rPr>
            </w:pPr>
            <w:r>
              <w:rPr>
                <w:rFonts w:hint="eastAsia" w:ascii="宋体" w:hAnsi="宋体"/>
                <w:b/>
                <w:szCs w:val="21"/>
                <w:lang w:val="en-US" w:eastAsia="zh-CN"/>
              </w:rPr>
              <w:t>说明：本次审核为恢复认证注册资格审核，经了解，暂停期间组织未使用证书。经审核，同意恢复认证注册资格。</w:t>
            </w: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ascii="宋体" w:hAnsi="宋体"/>
          <w:b/>
          <w:kern w:val="0"/>
          <w:sz w:val="20"/>
        </w:rPr>
        <w:drawing>
          <wp:anchor distT="0" distB="0" distL="114300" distR="114300" simplePos="0" relativeHeight="251662336" behindDoc="0" locked="0" layoutInCell="1" allowOverlap="1">
            <wp:simplePos x="0" y="0"/>
            <wp:positionH relativeFrom="column">
              <wp:posOffset>1574800</wp:posOffset>
            </wp:positionH>
            <wp:positionV relativeFrom="paragraph">
              <wp:posOffset>217805</wp:posOffset>
            </wp:positionV>
            <wp:extent cx="822960" cy="498475"/>
            <wp:effectExtent l="0" t="0" r="15240" b="15875"/>
            <wp:wrapNone/>
            <wp:docPr id="2"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褚敏杰"/>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822960" cy="498475"/>
                    </a:xfrm>
                    <a:prstGeom prst="rect">
                      <a:avLst/>
                    </a:prstGeom>
                  </pic:spPr>
                </pic:pic>
              </a:graphicData>
            </a:graphic>
          </wp:anchor>
        </w:drawing>
      </w:r>
      <w:r>
        <w:rPr>
          <w:rFonts w:hint="eastAsia"/>
          <w:b/>
          <w:sz w:val="26"/>
          <w:szCs w:val="26"/>
        </w:rPr>
        <w:t>十二、审核组签字</w:t>
      </w:r>
    </w:p>
    <w:p>
      <w:pPr>
        <w:snapToGrid w:val="0"/>
        <w:spacing w:line="320" w:lineRule="exact"/>
        <w:ind w:firstLine="452" w:firstLineChars="250"/>
        <w:rPr>
          <w:b/>
          <w:sz w:val="21"/>
        </w:rPr>
      </w:pPr>
      <w:r>
        <w:rPr>
          <w:rFonts w:ascii="宋体"/>
          <w:b/>
          <w:sz w:val="18"/>
          <w:szCs w:val="18"/>
        </w:rPr>
        <w:drawing>
          <wp:anchor distT="0" distB="0" distL="114300" distR="114300" simplePos="0" relativeHeight="251666432" behindDoc="0" locked="0" layoutInCell="1" allowOverlap="1">
            <wp:simplePos x="0" y="0"/>
            <wp:positionH relativeFrom="column">
              <wp:posOffset>1884680</wp:posOffset>
            </wp:positionH>
            <wp:positionV relativeFrom="paragraph">
              <wp:posOffset>146685</wp:posOffset>
            </wp:positionV>
            <wp:extent cx="1245235" cy="539750"/>
            <wp:effectExtent l="0" t="0" r="12065" b="12700"/>
            <wp:wrapNone/>
            <wp:docPr id="1" name="图片 1" descr="签名-杨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杨梅"/>
                    <pic:cNvPicPr>
                      <a:picLocks noChangeAspect="1"/>
                    </pic:cNvPicPr>
                  </pic:nvPicPr>
                  <pic:blipFill>
                    <a:blip r:embed="rId7">
                      <a:clrChange>
                        <a:clrFrom>
                          <a:srgbClr val="FEFEFE">
                            <a:alpha val="100000"/>
                          </a:srgbClr>
                        </a:clrFrom>
                        <a:clrTo>
                          <a:srgbClr val="FEFEFE">
                            <a:alpha val="100000"/>
                            <a:alpha val="0"/>
                          </a:srgbClr>
                        </a:clrTo>
                      </a:clrChange>
                    </a:blip>
                    <a:stretch>
                      <a:fillRect/>
                    </a:stretch>
                  </pic:blipFill>
                  <pic:spPr>
                    <a:xfrm>
                      <a:off x="0" y="0"/>
                      <a:ext cx="1245235" cy="539750"/>
                    </a:xfrm>
                    <a:prstGeom prst="rect">
                      <a:avLst/>
                    </a:prstGeom>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2021.2.2</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 xml:space="preserve">OHSMS ( </w:t>
      </w:r>
      <w:r>
        <w:rPr>
          <w:rFonts w:hint="eastAsia"/>
          <w:b/>
          <w:sz w:val="21"/>
          <w:szCs w:val="21"/>
          <w:lang w:val="en-US" w:eastAsia="zh-CN"/>
        </w:rPr>
        <w:t>0</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02294A"/>
    <w:rsid w:val="0F066212"/>
    <w:rsid w:val="23837F35"/>
    <w:rsid w:val="676900D8"/>
    <w:rsid w:val="7DB24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lenovo1018</cp:lastModifiedBy>
  <cp:lastPrinted>2019-04-18T08:15:00Z</cp:lastPrinted>
  <dcterms:modified xsi:type="dcterms:W3CDTF">2021-02-02T08:19:09Z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