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江西中建建材有限公司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QEO:</w:t>
            </w:r>
            <w:r>
              <w:rPr>
                <w:rFonts w:hint="eastAsia"/>
                <w:b/>
                <w:sz w:val="20"/>
              </w:rPr>
              <w:t>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</w:t>
            </w:r>
            <w:r>
              <w:rPr>
                <w:rFonts w:hint="eastAsia"/>
                <w:sz w:val="20"/>
                <w:u w:val="single"/>
              </w:rPr>
              <w:t>按配合比要求计量（称重）→搅拌（定时控制）</w:t>
            </w:r>
            <w:r>
              <w:rPr>
                <w:rFonts w:hint="eastAsia"/>
                <w:sz w:val="20"/>
              </w:rPr>
              <w:t>→出料（测塌落度、制作试块）→装入罐车→运输（至需方指定地点）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>
              <w:rPr>
                <w:rFonts w:hint="eastAsia"/>
                <w:sz w:val="20"/>
                <w:u w:val="single"/>
              </w:rPr>
              <w:t>按配合比要求计量（称重）和搅拌（定时控制）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针对关键过程建立的控制文件有：《物料配比（称重）和搅拌（定时控制）作业指导书》，并规定了确认的工作内容、确认方式、确认结果、确认记录等要求。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环境因素产生过程包括：原材料进场、砂石上料、混凝土搅拌、设备、空压机、混凝土运输、设备维修、办公用车的使用等过程中粉尘的排放，噪声的排放，能源的消耗，废水、废渣的排放、固废的废弃等；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控制措施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sz w:val="20"/>
              </w:rPr>
              <w:t>一般固废集中收集外售至废品回收站；危废委托有资质单位回收；选用低噪声设备，合理布局，隔声减震，厂房隔音；设备、电路定期检修、不定期检查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提高安全意识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个体防护</w:t>
            </w:r>
            <w:r>
              <w:rPr>
                <w:rFonts w:hint="eastAsia"/>
                <w:sz w:val="20"/>
              </w:rPr>
              <w:t>；做好火灾预防措施。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一旦发生按相关应急预案执行；制定目标、指标。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危险源有：触电、火灾、机械伤害、听力损害、爆炸、高空坠落、中毒、职业病、人身伤害等。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不可接受风险：职业病；触电；运输伤亡、机械伤害、噪声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控制措施：选用低噪声设备，合理布局，隔声减震；设备加防护罩、设备/电路定期检修、不定期检查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提高安全意识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个体防护</w:t>
            </w:r>
            <w:r>
              <w:rPr>
                <w:rFonts w:hint="eastAsia"/>
                <w:sz w:val="20"/>
              </w:rPr>
              <w:t>；做好火灾预防措施。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一旦发生按相关应急预案执行。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江西省实施《中华人民共和国水污染防治法》办法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江西省城市环境噪声管理奖惩办法  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中华人民共和国固体废弃物污染环境防治法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江西省化学危险品安全生产管理办法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中华人民共和国节约能源法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生产安全事故应急预案管理办法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预拌混凝土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混凝土质量控制标准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GB50164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混凝土强度检验评定标准</w:t>
            </w:r>
            <w:r>
              <w:rPr>
                <w:rFonts w:hint="eastAsia"/>
                <w:b w:val="0"/>
                <w:bCs/>
                <w:sz w:val="20"/>
              </w:rPr>
              <w:tab/>
            </w:r>
            <w:r>
              <w:rPr>
                <w:rFonts w:hint="eastAsia"/>
                <w:b w:val="0"/>
                <w:bCs/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普通混凝土配合比设计规程JGJ55-2011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普通混凝土拌和物性能试验方法标准GB/T50080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普通混凝土力学性能试验方法标准GB/T50081-2002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普通混凝土长期性能和耐久性能试验方法标准GB/T50082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查 “计量器具/监视设备台账”，如电热鼓风恒温干燥箱、标准恒温恒湿养护箱YH-40B、全自动养护室标准控制仪、水泥净浆搅拌机、水泥胶砂流动度测定仪、水泥胶砂振实台 2S-15、水泥胶砂搅拌机、水泥细度值压筛析仪FYS- 150、震击式标准振筛机、数显压力试验机JYE- 2000、电动抗折试验机KZJ-500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查试验室操作人员资质、试验作业标准、规程，试验、检验记录等。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抽查进货检验记录和库房入库单、抽查二份第三方对原材料的检验报告、查混凝土生产实现关键过程——混凝土配比设计检验报告、抽查出厂检验记录、查第三方检验报告等。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/>
                <w:b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805815</wp:posOffset>
                  </wp:positionV>
                  <wp:extent cx="785495" cy="340360"/>
                  <wp:effectExtent l="0" t="0" r="14605" b="2540"/>
                  <wp:wrapNone/>
                  <wp:docPr id="1" name="图片 1" descr="签名-杨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杨梅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802005</wp:posOffset>
                  </wp:positionV>
                  <wp:extent cx="822960" cy="498475"/>
                  <wp:effectExtent l="0" t="0" r="15240" b="15875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2021.1.29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A2312C"/>
    <w:rsid w:val="7978556E"/>
    <w:rsid w:val="7C5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42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2021-02-01T02:49:12Z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