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江西阳光安全设备集团有限公司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企业安全经费提取执行《高危行业企业安全生产费用财务管理暂行办法》，该办法2012年废止，建议整改。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总经理丁海新企业负责人安全培训证书未提供。</w:t>
            </w:r>
            <w:bookmarkStart w:id="5" w:name="_GoBack"/>
            <w:bookmarkEnd w:id="5"/>
          </w:p>
          <w:p>
            <w:r>
              <w:rPr>
                <w:rFonts w:hint="eastAsia"/>
              </w:rPr>
              <w:t>刘华安-焊工-职业资格证书-2014.9.19，人力资源和社会保障部颁发，交流。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建议对顾客满意失分项进行分析，并制定改进措施，交流。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采购合同中未明确安全和环保相关内容，交流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E/O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现场查看发现喷塑生产线工具柜里放置的安全帽过期失效，交流。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A3D4D"/>
    <w:rsid w:val="1F267BB6"/>
    <w:rsid w:val="5AF6368C"/>
    <w:rsid w:val="5B0A4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13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lenovo1018</cp:lastModifiedBy>
  <dcterms:modified xsi:type="dcterms:W3CDTF">2021-01-29T02:33:44Z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