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0606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涉及条款</w:t>
            </w:r>
          </w:p>
        </w:tc>
        <w:tc>
          <w:tcPr>
            <w:tcW w:w="10606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受审核部门：行政部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>
              <w:rPr>
                <w:rFonts w:hAnsiTheme="minorEastAsia" w:eastAsiaTheme="minorEastAsia"/>
                <w:sz w:val="24"/>
                <w:szCs w:val="24"/>
              </w:rPr>
              <w:t>主管领导：</w:t>
            </w:r>
            <w:r>
              <w:rPr>
                <w:rFonts w:hint="eastAsia" w:ascii="宋体" w:hAnsi="宋体"/>
                <w:sz w:val="24"/>
              </w:rPr>
              <w:t>胡念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AnsiTheme="minorEastAsia" w:eastAsiaTheme="minorEastAsia"/>
                <w:sz w:val="24"/>
                <w:szCs w:val="24"/>
              </w:rPr>
              <w:t>陪同人员：刘涛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>
            <w:pPr>
              <w:spacing w:before="120"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审核员：文波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AnsiTheme="minorEastAsia" w:eastAsiaTheme="minorEastAsia"/>
                <w:sz w:val="24"/>
                <w:szCs w:val="24"/>
              </w:rPr>
              <w:t>审核时间：</w:t>
            </w:r>
            <w:r>
              <w:rPr>
                <w:rFonts w:eastAsiaTheme="minorEastAsia"/>
                <w:sz w:val="24"/>
                <w:szCs w:val="24"/>
              </w:rPr>
              <w:t>202</w:t>
            </w:r>
            <w:r>
              <w:rPr>
                <w:rFonts w:hint="eastAsia" w:eastAsiaTheme="minorEastAsia"/>
                <w:sz w:val="24"/>
                <w:szCs w:val="24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sz w:val="24"/>
                <w:szCs w:val="24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sz w:val="24"/>
                <w:szCs w:val="24"/>
              </w:rPr>
              <w:t>27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>
            <w:pPr>
              <w:adjustRightInd w:val="0"/>
              <w:snapToGrid w:val="0"/>
              <w:ind w:right="105" w:rightChars="50"/>
              <w:textAlignment w:val="baseline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审核条款：</w:t>
            </w:r>
          </w:p>
          <w:p>
            <w:pPr>
              <w:snapToGrid w:val="0"/>
              <w:spacing w:line="360" w:lineRule="auto"/>
              <w:rPr>
                <w:rFonts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EMS/OHSMS: 6.1.2环境因素/危险源的识别与评价、6.1.4措施的策划、6.1.3合规义务、9.1.2合规性评价、8.1运行策划和控制</w:t>
            </w:r>
            <w:bookmarkStart w:id="0" w:name="_GoBack"/>
            <w:bookmarkEnd w:id="0"/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环境因素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>
              <w:rPr>
                <w:rFonts w:hAnsiTheme="minorEastAsia" w:eastAsiaTheme="minorEastAsia"/>
                <w:sz w:val="24"/>
                <w:szCs w:val="24"/>
              </w:rPr>
              <w:t>危险源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E6.1.2</w:t>
            </w: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O6.1.2</w:t>
            </w: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</w:tcPr>
          <w:p>
            <w:pPr>
              <w:snapToGrid w:val="0"/>
              <w:spacing w:line="360" w:lineRule="auto"/>
              <w:ind w:firstLine="480" w:firstLineChars="200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提供了环境因素和危险源识别评价与</w:t>
            </w:r>
            <w:r>
              <w:rPr>
                <w:rFonts w:hAnsiTheme="minorEastAsia" w:eastAsiaTheme="minorEastAsia"/>
                <w:bCs/>
                <w:sz w:val="24"/>
                <w:szCs w:val="24"/>
              </w:rPr>
              <w:t>控制程序，对环境因素、危险源的识别、评价结果、控制手段等做出了规定。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bCs/>
                <w:sz w:val="24"/>
                <w:szCs w:val="24"/>
              </w:rPr>
              <w:t>行政部作为环境和职业健康安全管理体系的推进</w:t>
            </w:r>
            <w:r>
              <w:rPr>
                <w:rFonts w:hAnsiTheme="minorEastAsia" w:eastAsiaTheme="minorEastAsia"/>
                <w:sz w:val="24"/>
                <w:szCs w:val="24"/>
              </w:rPr>
              <w:t>部门，主要统筹负责识别评价相关的环境因素及危险源。根据办公区、生产过程、检验过程、采购过程、销售过程等环节识别，由行政部汇总。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查</w:t>
            </w:r>
            <w:r>
              <w:rPr>
                <w:rFonts w:eastAsiaTheme="minorEastAsia"/>
                <w:sz w:val="24"/>
                <w:szCs w:val="24"/>
              </w:rPr>
              <w:t>“</w:t>
            </w:r>
            <w:r>
              <w:rPr>
                <w:rFonts w:hAnsiTheme="minorEastAsia" w:eastAsiaTheme="minorEastAsia"/>
                <w:sz w:val="24"/>
                <w:szCs w:val="24"/>
              </w:rPr>
              <w:t>环境因素辨识和评价登记表</w:t>
            </w:r>
            <w:r>
              <w:rPr>
                <w:rFonts w:eastAsiaTheme="minorEastAsia"/>
                <w:sz w:val="24"/>
                <w:szCs w:val="24"/>
              </w:rPr>
              <w:t>”</w:t>
            </w:r>
            <w:r>
              <w:rPr>
                <w:rFonts w:hAnsiTheme="minorEastAsia" w:eastAsiaTheme="minorEastAsia"/>
                <w:sz w:val="24"/>
                <w:szCs w:val="24"/>
              </w:rPr>
              <w:t>，识别考虑了正常、异常、紧急，过去、现在、未来三种时态。涉及行政部的环境因素有生活垃圾的处置不当污染环境、办公场所吸烟污染环境、复印机打印机废墨盒处置污染环境、火灾发生后废弃物污染大气、水土等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采取多因子评价法进行了评价，查到</w:t>
            </w:r>
            <w:r>
              <w:rPr>
                <w:rFonts w:eastAsiaTheme="minorEastAsia"/>
                <w:sz w:val="24"/>
                <w:szCs w:val="24"/>
              </w:rPr>
              <w:t>“</w:t>
            </w:r>
            <w:r>
              <w:rPr>
                <w:rFonts w:hAnsiTheme="minorEastAsia" w:eastAsiaTheme="minorEastAsia"/>
                <w:sz w:val="24"/>
                <w:szCs w:val="24"/>
              </w:rPr>
              <w:t>重要环境因素清单</w:t>
            </w:r>
            <w:r>
              <w:rPr>
                <w:rFonts w:eastAsiaTheme="minorEastAsia"/>
                <w:sz w:val="24"/>
                <w:szCs w:val="24"/>
              </w:rPr>
              <w:t>”</w:t>
            </w:r>
            <w:r>
              <w:rPr>
                <w:rFonts w:hAnsiTheme="minorEastAsia" w:eastAsiaTheme="minorEastAsia"/>
                <w:sz w:val="24"/>
                <w:szCs w:val="24"/>
              </w:rPr>
              <w:t>，评价出噪音排放、潜在火灾、固废排放、粉尘排放为重要环境因素。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经评价行政部的重要环境因素为：日常办公过程中固废排放、潜在火灾的发生、能源消耗。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查</w:t>
            </w:r>
            <w:r>
              <w:rPr>
                <w:rFonts w:eastAsiaTheme="minorEastAsia"/>
                <w:sz w:val="24"/>
                <w:szCs w:val="24"/>
              </w:rPr>
              <w:t>“</w:t>
            </w:r>
            <w:r>
              <w:rPr>
                <w:rFonts w:hAnsiTheme="minorEastAsia" w:eastAsiaTheme="minorEastAsia"/>
                <w:sz w:val="24"/>
                <w:szCs w:val="24"/>
              </w:rPr>
              <w:t>职业安全健康管理体系危险源辨识、风险评价、风险控制一览表</w:t>
            </w:r>
            <w:r>
              <w:rPr>
                <w:rFonts w:eastAsiaTheme="minorEastAsia"/>
                <w:sz w:val="24"/>
                <w:szCs w:val="24"/>
              </w:rPr>
              <w:t>”</w:t>
            </w:r>
            <w:r>
              <w:rPr>
                <w:rFonts w:hAnsiTheme="minorEastAsia" w:eastAsiaTheme="minorEastAsia"/>
                <w:sz w:val="24"/>
                <w:szCs w:val="24"/>
              </w:rPr>
              <w:t>，识别了办公、采购、生产、销售过程中的危险源。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涉及行政部的危险源有复印机电磁波危害，电脑显示屏的辐射，插座质量差漏电造成的触电，烟头未及时熄灭或直接扔到纸篓中造成火灾，接线板负荷过重造成的火灾、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疲劳或情绪不稳情况下驾驶</w:t>
            </w:r>
            <w:r>
              <w:rPr>
                <w:rFonts w:hAnsiTheme="minorEastAsia" w:eastAsiaTheme="minorEastAsia"/>
                <w:sz w:val="24"/>
                <w:szCs w:val="24"/>
              </w:rPr>
              <w:t>等。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对识别出的危险源采取</w:t>
            </w:r>
            <w:r>
              <w:rPr>
                <w:rFonts w:eastAsiaTheme="minorEastAsia"/>
                <w:sz w:val="24"/>
                <w:szCs w:val="24"/>
              </w:rPr>
              <w:t>D=LEC</w:t>
            </w:r>
            <w:r>
              <w:rPr>
                <w:rFonts w:hAnsiTheme="minorEastAsia" w:eastAsiaTheme="minorEastAsia"/>
                <w:sz w:val="24"/>
                <w:szCs w:val="24"/>
              </w:rPr>
              <w:t>进行评价，查到</w:t>
            </w:r>
            <w:r>
              <w:rPr>
                <w:rFonts w:eastAsiaTheme="minorEastAsia"/>
                <w:sz w:val="24"/>
                <w:szCs w:val="24"/>
              </w:rPr>
              <w:t>“不可接受风险清单”</w:t>
            </w:r>
            <w:r>
              <w:rPr>
                <w:rFonts w:hAnsiTheme="minorEastAsia" w:eastAsiaTheme="minorEastAsia"/>
                <w:sz w:val="24"/>
                <w:szCs w:val="24"/>
              </w:rPr>
              <w:t>，评价出重大危险源包括：火灾、触电、机械伤害、人身伤害等。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经评价行政部的重大危险源：触电事故、火灾事故的发生。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主要控制措施：办公危废交耗材供应公司，生活垃圾由物业部门拉走，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危废委托有资质单位回收；选用低噪声设备，合理布局，隔声减震，厂房隔音；</w:t>
            </w:r>
            <w:r>
              <w:rPr>
                <w:rFonts w:hAnsiTheme="minorEastAsia" w:eastAsiaTheme="minorEastAsia"/>
                <w:sz w:val="24"/>
                <w:szCs w:val="24"/>
              </w:rPr>
              <w:t>配备消防器材；使用具有相关资质及考核合格的人员操作机器设备等。加强日常培训，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提高安全意识，制定目标、指标，对环境安全运行情况进行</w:t>
            </w:r>
            <w:r>
              <w:rPr>
                <w:rFonts w:hAnsiTheme="minorEastAsia" w:eastAsiaTheme="minorEastAsia"/>
                <w:sz w:val="24"/>
                <w:szCs w:val="24"/>
              </w:rPr>
              <w:t>日常检查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/不定期检查</w:t>
            </w:r>
            <w:r>
              <w:rPr>
                <w:rFonts w:hAnsiTheme="minorEastAsia" w:eastAsiaTheme="minorEastAsia"/>
                <w:sz w:val="24"/>
                <w:szCs w:val="24"/>
              </w:rPr>
              <w:t>，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减少跑冒滴漏情况，做好火灾预防措施，一旦发生按相关应急预案执行。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具体控制措施见</w:t>
            </w:r>
            <w:r>
              <w:rPr>
                <w:rFonts w:eastAsiaTheme="minorEastAsia"/>
                <w:sz w:val="24"/>
                <w:szCs w:val="24"/>
              </w:rPr>
              <w:t>EO8.1</w:t>
            </w:r>
            <w:r>
              <w:rPr>
                <w:rFonts w:hAnsiTheme="minorEastAsia" w:eastAsiaTheme="minorEastAsia"/>
                <w:sz w:val="24"/>
                <w:szCs w:val="24"/>
              </w:rPr>
              <w:t>审核记录。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措施的策划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E6.1.4</w:t>
            </w: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O6.1.4</w:t>
            </w:r>
          </w:p>
        </w:tc>
        <w:tc>
          <w:tcPr>
            <w:tcW w:w="1060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公司根据环境因素和危险源的风险辨识结果，分别制定出《重要环境因素清单》、《不可接受风险清单》，清单内明确了控制措施计划，通过具体的措施进行有效控制：目标、管理方案、管理制度运行控制、应急预案、日常检查、日常培训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每年对公司适用的合规义务进行识别更新并定期评价、检查。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  <w:highlight w:val="yellow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2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合规义务、法律法规和其他要求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E6.1.3</w:t>
            </w: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O6.1.3</w:t>
            </w:r>
          </w:p>
        </w:tc>
        <w:tc>
          <w:tcPr>
            <w:tcW w:w="10606" w:type="dxa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编制了《环境和职业健康安全法律法规控制程序》，对法律法规的识别更新和应用进行规定，行政部为主控部门。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部门人员介绍：主要通过网络、报纸杂志电视等新闻媒体、购买、上级下发等多种形式收集本公司适用的法律法规。提供了《环境法律法规及其他要求清单》、《职业健康安全法律法规及其他要求清单》，识别了企业相关环境和职业健康安全法律法规、标准和其他要求。如《中华人民共和国环境保护法》、《中华人民共和国安全生产法》、《中华人民共和国环境噪声污染防治法》、《中华人民共和国职业病防治法》、《中华人民共和国消防法》、《江西省环境污染防治条例》、《江西省安全生产条例》、《工伤保险条例》《中华人民共和国劳动合同法》《中华人民共和国突发事件应对法》《江西省生产安全事故报告和调查处理规定》《突发环境事件信息报告办法》等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已识别法律法规及其它要求的适用条款，并与环境因素、危险源相对应。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公司法律、法规及其它要求都有现行文本，大部分为电子版本。各部门如有需要到行政部查阅。公司通过培训、会议等方式向有关员工传达法律、法规及其它要求的相关要求。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  <w:highlight w:val="yellow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合规性评价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E9.1.2</w:t>
            </w:r>
          </w:p>
          <w:p>
            <w:pPr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O9.1.2</w:t>
            </w:r>
          </w:p>
        </w:tc>
        <w:tc>
          <w:tcPr>
            <w:tcW w:w="10606" w:type="dxa"/>
            <w:vAlign w:val="center"/>
          </w:tcPr>
          <w:p>
            <w:pPr>
              <w:snapToGrid w:val="0"/>
              <w:spacing w:line="360" w:lineRule="auto"/>
              <w:ind w:right="392"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编制了《合规性评价控制程序》，其中规定了对本公司法规及其他要求的合规性评价的要求。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提供了《合规性评价报告》、《合规性评价综述》</w:t>
            </w:r>
            <w:r>
              <w:rPr>
                <w:rFonts w:eastAsiaTheme="minorEastAsia"/>
                <w:sz w:val="24"/>
                <w:szCs w:val="24"/>
              </w:rPr>
              <w:t>,</w:t>
            </w:r>
            <w:r>
              <w:rPr>
                <w:rFonts w:hAnsiTheme="minorEastAsia" w:eastAsiaTheme="minorEastAsia"/>
                <w:sz w:val="24"/>
                <w:szCs w:val="24"/>
              </w:rPr>
              <w:t>对公司适用的法律法规及其他要求的遵守情况进行了评价，评价结论：从本次检查的结果来看，我公司没有违反国家法律、法规及相关标准，能严格遵守国家有关环境和职业健康安全管理方面的相关规定，密切关注法律法规的变化，并适时调整，严格按体系标准执行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评价人：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刘涛、胡念、聂艳萍、皮俊辉等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评价日期：20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20</w:t>
            </w:r>
            <w:r>
              <w:rPr>
                <w:rFonts w:hAnsiTheme="minorEastAsia" w:eastAsiaTheme="minorEastAsia"/>
                <w:sz w:val="24"/>
                <w:szCs w:val="24"/>
              </w:rPr>
              <w:t>年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AnsiTheme="minorEastAsia" w:eastAsiaTheme="minorEastAsia"/>
                <w:sz w:val="24"/>
                <w:szCs w:val="24"/>
              </w:rPr>
              <w:t>日。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部门已对有关法规及其他要求进行识别、评价，满足要求。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运行策划和控制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E8.1</w:t>
            </w: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O</w:t>
            </w:r>
            <w:r>
              <w:rPr>
                <w:rFonts w:eastAsiaTheme="minorEastAsia"/>
                <w:sz w:val="24"/>
                <w:szCs w:val="24"/>
              </w:rPr>
              <w:t>8.1</w:t>
            </w: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公司制定并实施了运行控制程序、废弃物控制程序、噪声控制程序、消防控制程序、资源能源控制程序、化学品油品控制程序、安全防火规程、员工职业健康及劳动保护管理规定、办公用品管理规定、节约用水管理规定、垃圾管理规定、固体废弃物管理规定、应急预案等环境与职业健康安全控制程序和管理制度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企业注册地址：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江西省樟树市四特大道305号</w:t>
            </w:r>
            <w:r>
              <w:rPr>
                <w:rFonts w:hAnsiTheme="minorEastAsia" w:eastAsiaTheme="minorEastAsia"/>
                <w:sz w:val="24"/>
                <w:szCs w:val="24"/>
              </w:rPr>
              <w:t>，生产经营地址：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江西省樟树市城北工业园清江大道699号；</w:t>
            </w:r>
            <w:r>
              <w:rPr>
                <w:rFonts w:hAnsiTheme="minorEastAsia" w:eastAsiaTheme="minorEastAsia"/>
                <w:sz w:val="24"/>
                <w:szCs w:val="24"/>
              </w:rPr>
              <w:t>公司四周是其他企业，无重大敏感区，根据体系运行的需要设置了生产区、办公区。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行政部定期组织环保和安全知识培训，员工具备了基本的环保和职业健康安全防护意识。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按公司要求人走关灯，行政部电脑要求人走后电源切断。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办公内主要是电的使用，电器有漏电保护器，经常对电路、电源进行检查，没有露电现象发生。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行政部垃圾主要包含可回收垃圾、硒鼓、废纸。公司配置了垃圾箱，行政部统一处理。对可回收的固体废弃物，一部分由厂家回收，厂家不回收的公司统一回收再利用或由物资回收公司处理，不可回收的废弃物由环卫部门处理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为满足环境和职业健康安全体系的运行，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体系运行至今</w:t>
            </w:r>
            <w:r>
              <w:rPr>
                <w:rFonts w:hAnsiTheme="minorEastAsia" w:eastAsiaTheme="minorEastAsia"/>
                <w:sz w:val="24"/>
                <w:szCs w:val="24"/>
              </w:rPr>
              <w:t>公司投入主要是安全教育培训、环保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/消防设施费用、</w:t>
            </w:r>
            <w:r>
              <w:rPr>
                <w:rFonts w:hAnsiTheme="minorEastAsia" w:eastAsiaTheme="minorEastAsia"/>
                <w:sz w:val="24"/>
                <w:szCs w:val="24"/>
              </w:rPr>
              <w:t>劳保用品、社保等，运行至今支出约</w:t>
            </w:r>
            <w:r>
              <w:rPr>
                <w:rFonts w:hint="eastAsia" w:eastAsiaTheme="minorEastAsia"/>
                <w:sz w:val="24"/>
                <w:szCs w:val="24"/>
              </w:rPr>
              <w:t>15.3</w:t>
            </w:r>
            <w:r>
              <w:rPr>
                <w:rFonts w:hAnsiTheme="minorEastAsia" w:eastAsiaTheme="minorEastAsia"/>
                <w:sz w:val="24"/>
                <w:szCs w:val="24"/>
              </w:rPr>
              <w:t>万余元。</w:t>
            </w:r>
          </w:p>
          <w:p>
            <w:pPr>
              <w:spacing w:line="360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办公纸张尽量采取双面打印，人走灯灭，定期检查水管跑冒滴漏。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巡视查看现场办公区域配备了灭火器等消防设施，状况正常。</w:t>
            </w:r>
          </w:p>
          <w:p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符合</w:t>
            </w:r>
          </w:p>
        </w:tc>
      </w:tr>
    </w:tbl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文本框 1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ISC-B-I-31 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56CE"/>
    <w:rsid w:val="00011F8C"/>
    <w:rsid w:val="00024710"/>
    <w:rsid w:val="000739A6"/>
    <w:rsid w:val="000A0366"/>
    <w:rsid w:val="000D21B5"/>
    <w:rsid w:val="001A2C63"/>
    <w:rsid w:val="001B3DB6"/>
    <w:rsid w:val="001C0E97"/>
    <w:rsid w:val="00200EB6"/>
    <w:rsid w:val="00222936"/>
    <w:rsid w:val="002335DF"/>
    <w:rsid w:val="002D1B3A"/>
    <w:rsid w:val="002E60A1"/>
    <w:rsid w:val="002F22A4"/>
    <w:rsid w:val="00310051"/>
    <w:rsid w:val="0033755D"/>
    <w:rsid w:val="00382C9E"/>
    <w:rsid w:val="003F6922"/>
    <w:rsid w:val="0044228D"/>
    <w:rsid w:val="00463E4F"/>
    <w:rsid w:val="00480D8A"/>
    <w:rsid w:val="004948E4"/>
    <w:rsid w:val="004B1600"/>
    <w:rsid w:val="00502ECC"/>
    <w:rsid w:val="005216B4"/>
    <w:rsid w:val="005248EB"/>
    <w:rsid w:val="00544812"/>
    <w:rsid w:val="00562C53"/>
    <w:rsid w:val="005650A9"/>
    <w:rsid w:val="005C42AE"/>
    <w:rsid w:val="0067713D"/>
    <w:rsid w:val="006B1865"/>
    <w:rsid w:val="006C249C"/>
    <w:rsid w:val="006F7DB9"/>
    <w:rsid w:val="00716892"/>
    <w:rsid w:val="00752F55"/>
    <w:rsid w:val="007E0CB1"/>
    <w:rsid w:val="007F35AC"/>
    <w:rsid w:val="0081161A"/>
    <w:rsid w:val="0082659C"/>
    <w:rsid w:val="0088541A"/>
    <w:rsid w:val="008F5142"/>
    <w:rsid w:val="009101C7"/>
    <w:rsid w:val="00926D09"/>
    <w:rsid w:val="00934EDD"/>
    <w:rsid w:val="00936C1E"/>
    <w:rsid w:val="00944529"/>
    <w:rsid w:val="0099785D"/>
    <w:rsid w:val="009C308F"/>
    <w:rsid w:val="009E1522"/>
    <w:rsid w:val="009F794A"/>
    <w:rsid w:val="00A03494"/>
    <w:rsid w:val="00A80117"/>
    <w:rsid w:val="00AB78E8"/>
    <w:rsid w:val="00AD08B6"/>
    <w:rsid w:val="00B01B1D"/>
    <w:rsid w:val="00B609E9"/>
    <w:rsid w:val="00BA7C95"/>
    <w:rsid w:val="00BB09D7"/>
    <w:rsid w:val="00BB4B18"/>
    <w:rsid w:val="00BC7DCF"/>
    <w:rsid w:val="00BD0577"/>
    <w:rsid w:val="00BD7B69"/>
    <w:rsid w:val="00C62417"/>
    <w:rsid w:val="00C628C6"/>
    <w:rsid w:val="00C708F5"/>
    <w:rsid w:val="00CB1B65"/>
    <w:rsid w:val="00CB73D9"/>
    <w:rsid w:val="00D27786"/>
    <w:rsid w:val="00D5770D"/>
    <w:rsid w:val="00D86313"/>
    <w:rsid w:val="00D92675"/>
    <w:rsid w:val="00D942FD"/>
    <w:rsid w:val="00D94896"/>
    <w:rsid w:val="00DB6AEF"/>
    <w:rsid w:val="00DE2EE3"/>
    <w:rsid w:val="00E156CE"/>
    <w:rsid w:val="00E85130"/>
    <w:rsid w:val="00EB1F2D"/>
    <w:rsid w:val="00EB6B93"/>
    <w:rsid w:val="00EC17F3"/>
    <w:rsid w:val="00ED0930"/>
    <w:rsid w:val="00EE232F"/>
    <w:rsid w:val="00EF3903"/>
    <w:rsid w:val="00F10002"/>
    <w:rsid w:val="00F22D31"/>
    <w:rsid w:val="00F24159"/>
    <w:rsid w:val="00F3639B"/>
    <w:rsid w:val="00F462AE"/>
    <w:rsid w:val="00F744DE"/>
    <w:rsid w:val="00FD1581"/>
    <w:rsid w:val="00FF2EA7"/>
    <w:rsid w:val="39C94F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uiPriority w:val="99"/>
    <w:pPr>
      <w:spacing w:after="120"/>
      <w:ind w:left="420" w:leftChars="200"/>
    </w:pPr>
  </w:style>
  <w:style w:type="paragraph" w:styleId="3">
    <w:name w:val="Plain Text"/>
    <w:basedOn w:val="1"/>
    <w:link w:val="18"/>
    <w:qFormat/>
    <w:uiPriority w:val="0"/>
    <w:rPr>
      <w:rFonts w:ascii="宋体" w:hAnsi="Courier New" w:cstheme="minorBidi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link w:val="15"/>
    <w:qFormat/>
    <w:uiPriority w:val="99"/>
    <w:pPr>
      <w:spacing w:after="0"/>
      <w:ind w:left="0" w:leftChars="0" w:firstLine="420" w:firstLineChars="200"/>
      <w:jc w:val="left"/>
    </w:pPr>
    <w:rPr>
      <w:rFonts w:ascii="宋体" w:hAnsi="宋体" w:eastAsia="仿宋_GB2312"/>
      <w:color w:val="000000"/>
      <w:sz w:val="28"/>
    </w:rPr>
  </w:style>
  <w:style w:type="character" w:customStyle="1" w:styleId="10">
    <w:name w:val="页眉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正文文本缩进 Char"/>
    <w:basedOn w:val="9"/>
    <w:link w:val="2"/>
    <w:semiHidden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5">
    <w:name w:val="正文首行缩进 2 Char"/>
    <w:basedOn w:val="14"/>
    <w:link w:val="7"/>
    <w:qFormat/>
    <w:uiPriority w:val="99"/>
    <w:rPr>
      <w:rFonts w:ascii="宋体" w:hAnsi="宋体" w:eastAsia="仿宋_GB2312"/>
      <w:color w:val="000000"/>
      <w:sz w:val="28"/>
    </w:rPr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7">
    <w:name w:val="纯文本 Char"/>
    <w:basedOn w:val="9"/>
    <w:link w:val="3"/>
    <w:locked/>
    <w:uiPriority w:val="0"/>
    <w:rPr>
      <w:rFonts w:ascii="宋体" w:hAnsi="Courier New" w:eastAsia="宋体"/>
      <w:kern w:val="2"/>
      <w:sz w:val="21"/>
    </w:rPr>
  </w:style>
  <w:style w:type="character" w:customStyle="1" w:styleId="18">
    <w:name w:val="纯文本 Char1"/>
    <w:basedOn w:val="9"/>
    <w:link w:val="3"/>
    <w:semiHidden/>
    <w:uiPriority w:val="99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384</Words>
  <Characters>2191</Characters>
  <Lines>18</Lines>
  <Paragraphs>5</Paragraphs>
  <TotalTime>966</TotalTime>
  <ScaleCrop>false</ScaleCrop>
  <LinksUpToDate>false</LinksUpToDate>
  <CharactersWithSpaces>2570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2021-01-28T07:26:06Z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