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15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5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AnsiTheme="minorEastAsia" w:eastAsiaTheme="minorEastAsia"/>
                <w:sz w:val="24"/>
                <w:szCs w:val="24"/>
              </w:rPr>
              <w:t>主管领导：</w:t>
            </w:r>
            <w:r>
              <w:rPr>
                <w:rFonts w:hint="eastAsia"/>
                <w:sz w:val="24"/>
                <w:szCs w:val="24"/>
                <w:lang w:val="en-US" w:eastAsia="zh-CN"/>
              </w:rPr>
              <w:t xml:space="preserve">丁海新、彭顺平、刘涛、胡念（安全事务代表）      </w:t>
            </w:r>
          </w:p>
          <w:p>
            <w:pPr>
              <w:rPr>
                <w:rFonts w:hint="eastAsia" w:eastAsia="宋体"/>
                <w:sz w:val="24"/>
                <w:szCs w:val="24"/>
                <w:lang w:val="en-US" w:eastAsia="zh-CN"/>
              </w:rPr>
            </w:pPr>
            <w:r>
              <w:rPr>
                <w:rFonts w:hint="eastAsia"/>
                <w:sz w:val="24"/>
                <w:szCs w:val="24"/>
              </w:rPr>
              <w:t>陪同人员：</w:t>
            </w:r>
            <w:r>
              <w:rPr>
                <w:rFonts w:hint="eastAsia"/>
                <w:sz w:val="24"/>
                <w:szCs w:val="24"/>
                <w:lang w:val="en-US" w:eastAsia="zh-CN"/>
              </w:rPr>
              <w:t>朱国平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65" w:type="dxa"/>
            <w:vMerge w:val="continue"/>
            <w:vAlign w:val="center"/>
          </w:tcPr>
          <w:p/>
        </w:tc>
        <w:tc>
          <w:tcPr>
            <w:tcW w:w="1155"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文波                   </w:t>
            </w:r>
            <w:r>
              <w:rPr>
                <w:rFonts w:hint="eastAsia"/>
                <w:sz w:val="24"/>
                <w:szCs w:val="24"/>
              </w:rPr>
              <w:t>审核时间：</w:t>
            </w:r>
            <w:r>
              <w:rPr>
                <w:rFonts w:hint="eastAsia"/>
                <w:sz w:val="24"/>
                <w:szCs w:val="24"/>
                <w:lang w:val="en-US" w:eastAsia="zh-CN"/>
              </w:rPr>
              <w:t>2021.1.27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65" w:type="dxa"/>
            <w:vMerge w:val="continue"/>
            <w:vAlign w:val="center"/>
          </w:tcPr>
          <w:p/>
        </w:tc>
        <w:tc>
          <w:tcPr>
            <w:tcW w:w="1155" w:type="dxa"/>
            <w:vMerge w:val="continue"/>
            <w:vAlign w:val="center"/>
          </w:tcPr>
          <w:p/>
        </w:tc>
        <w:tc>
          <w:tcPr>
            <w:tcW w:w="10004" w:type="dxa"/>
            <w:vAlign w:val="center"/>
          </w:tcPr>
          <w:p>
            <w:pPr>
              <w:adjustRightInd w:val="0"/>
              <w:snapToGrid w:val="0"/>
              <w:spacing w:line="360" w:lineRule="auto"/>
              <w:ind w:right="105" w:rightChars="50"/>
              <w:textAlignment w:val="baseline"/>
              <w:rPr>
                <w:rFonts w:hint="eastAsia"/>
                <w:sz w:val="24"/>
                <w:szCs w:val="24"/>
              </w:rPr>
            </w:pPr>
            <w:r>
              <w:rPr>
                <w:rFonts w:hint="eastAsia"/>
                <w:sz w:val="24"/>
                <w:szCs w:val="24"/>
              </w:rPr>
              <w:t>审核条款：</w:t>
            </w:r>
          </w:p>
          <w:p>
            <w:pPr>
              <w:adjustRightInd w:val="0"/>
              <w:snapToGrid w:val="0"/>
              <w:spacing w:line="360"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QEO:4.1理解组织及其环境、4.2理解相关方的需求和期望、4.3确定管理体系的范围、4.4质量/环境管理体系及其过程、5.1领导作用和承诺、5.2质量/环境/职业健康方针、5.3组织的岗位、职责和权限、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安全目标及其实现的策划、7.1.1（EO7.1）资源总则、7.4沟通/信息交流、9.3管理评审、10.1改进、10.3持续改进</w:t>
            </w:r>
          </w:p>
          <w:p>
            <w:pPr>
              <w:adjustRightInd w:val="0"/>
              <w:snapToGrid w:val="0"/>
              <w:spacing w:line="360"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Q6.3变更的策划</w:t>
            </w:r>
          </w:p>
          <w:p>
            <w:pPr>
              <w:adjustRightInd w:val="0"/>
              <w:snapToGrid w:val="0"/>
              <w:spacing w:line="360"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Q8.3删减合理性</w:t>
            </w:r>
          </w:p>
          <w:p>
            <w:pPr>
              <w:adjustRightInd w:val="0"/>
              <w:snapToGrid w:val="0"/>
              <w:spacing w:line="360"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O5.4协商与参与</w:t>
            </w:r>
          </w:p>
          <w:p>
            <w:pPr>
              <w:adjustRightInd w:val="0"/>
              <w:snapToGrid w:val="0"/>
              <w:spacing w:line="360" w:lineRule="auto"/>
              <w:ind w:right="105" w:rightChars="50"/>
              <w:textAlignment w:val="baseline"/>
              <w:rPr>
                <w:sz w:val="24"/>
                <w:szCs w:val="24"/>
              </w:rPr>
            </w:pPr>
            <w:r>
              <w:rPr>
                <w:rFonts w:hint="eastAsia" w:ascii="宋体" w:hAnsi="宋体" w:cs="Arial"/>
                <w:spacing w:val="-6"/>
                <w:sz w:val="21"/>
                <w:szCs w:val="21"/>
              </w:rPr>
              <w:t>国家/地方监督抽查情况；顾客满意、相关方投诉及处理情况；一阶段问题验证，验证企业相关资质证明的有效性；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理解组织及其环境</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w:t>
            </w:r>
            <w:r>
              <w:rPr>
                <w:rFonts w:hint="eastAsia" w:ascii="宋体" w:hAnsi="宋体" w:cs="Arial"/>
                <w:spacing w:val="-6"/>
                <w:sz w:val="21"/>
                <w:szCs w:val="21"/>
              </w:rPr>
              <w:t>4.1</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江西阳光安全设备集团有限公司位于江西省樟树市四特大道305号，生产地址为江西省樟树市城北工业园清江大道699号。</w:t>
            </w:r>
          </w:p>
          <w:p>
            <w:pPr>
              <w:adjustRightInd w:val="0"/>
              <w:snapToGrid w:val="0"/>
              <w:spacing w:line="36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阳光牌金属家具分别荣获“江西名牌产品”、“中国驰名商标”等称号，是手动密集架、钢制书架、资料柜等产品国家标准的主要起草单位。</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经交流得知公司</w:t>
            </w:r>
            <w:r>
              <w:rPr>
                <w:rFonts w:hint="default" w:ascii="宋体" w:hAnsi="宋体" w:cs="Arial"/>
                <w:spacing w:val="-6"/>
                <w:sz w:val="21"/>
                <w:szCs w:val="21"/>
                <w:lang w:val="en-US" w:eastAsia="zh-CN"/>
              </w:rPr>
              <w:t>通过定期的网站获取、顾客沟通、及定期内部总结等方式</w:t>
            </w:r>
            <w:r>
              <w:rPr>
                <w:rFonts w:hint="eastAsia" w:ascii="宋体" w:hAnsi="宋体" w:cs="Arial"/>
                <w:spacing w:val="-6"/>
                <w:sz w:val="21"/>
                <w:szCs w:val="21"/>
                <w:lang w:val="en-US" w:eastAsia="zh-CN"/>
              </w:rPr>
              <w:t>对内外部因素</w:t>
            </w:r>
            <w:r>
              <w:rPr>
                <w:rFonts w:hint="default" w:ascii="宋体" w:hAnsi="宋体" w:cs="Arial"/>
                <w:spacing w:val="-6"/>
                <w:sz w:val="21"/>
                <w:szCs w:val="21"/>
                <w:lang w:val="en-US" w:eastAsia="zh-CN"/>
              </w:rPr>
              <w:t>进行监视和评审</w:t>
            </w:r>
            <w:r>
              <w:rPr>
                <w:rFonts w:hint="eastAsia" w:ascii="宋体" w:hAnsi="宋体" w:cs="Arial"/>
                <w:spacing w:val="-6"/>
                <w:sz w:val="21"/>
                <w:szCs w:val="21"/>
                <w:lang w:val="en-US" w:eastAsia="zh-CN"/>
              </w:rPr>
              <w:t>：</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外部因素：</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金属制品等行业持续新建发展带来的机遇，安全环保的法规和政府对生产加工业的环保性、安全性和质量提出了越来越高的要求，行业有着非常大的提升空间，并取得迅速的发展。</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国内文化、社会因素影响因素很小。</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与同类企业相比，具有</w:t>
            </w:r>
            <w:r>
              <w:rPr>
                <w:rFonts w:hint="eastAsia" w:ascii="宋体" w:hAnsi="宋体" w:cs="Arial"/>
                <w:spacing w:val="-6"/>
                <w:sz w:val="21"/>
                <w:szCs w:val="21"/>
                <w:lang w:val="en-US" w:eastAsia="zh-CN"/>
              </w:rPr>
              <w:t>设备先进、</w:t>
            </w:r>
            <w:r>
              <w:rPr>
                <w:rFonts w:hint="default" w:ascii="宋体" w:hAnsi="宋体" w:cs="Arial"/>
                <w:spacing w:val="-6"/>
                <w:sz w:val="21"/>
                <w:szCs w:val="21"/>
                <w:lang w:val="en-US" w:eastAsia="zh-CN"/>
              </w:rPr>
              <w:t>人员少、生产效率高</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生产周期短、技术力量</w:t>
            </w:r>
            <w:r>
              <w:rPr>
                <w:rFonts w:hint="eastAsia" w:ascii="宋体" w:hAnsi="宋体" w:cs="Arial"/>
                <w:spacing w:val="-6"/>
                <w:sz w:val="21"/>
                <w:szCs w:val="21"/>
                <w:lang w:val="en-US" w:eastAsia="zh-CN"/>
              </w:rPr>
              <w:t>强等</w:t>
            </w:r>
            <w:r>
              <w:rPr>
                <w:rFonts w:hint="default" w:ascii="宋体" w:hAnsi="宋体" w:cs="Arial"/>
                <w:spacing w:val="-6"/>
                <w:sz w:val="21"/>
                <w:szCs w:val="21"/>
                <w:lang w:val="en-US" w:eastAsia="zh-CN"/>
              </w:rPr>
              <w:t>优势。</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内部因素：</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公司的人员均为有多年生产实践经验和质检及相关岗位管理工作经验</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生产技术人员全部经过技能/合规性培训，业务熟练，质量意识</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环境保护意识</w:t>
            </w:r>
            <w:r>
              <w:rPr>
                <w:rFonts w:hint="eastAsia" w:ascii="宋体" w:hAnsi="宋体" w:cs="Arial"/>
                <w:spacing w:val="-6"/>
                <w:sz w:val="21"/>
                <w:szCs w:val="21"/>
                <w:lang w:val="en-US" w:eastAsia="zh-CN"/>
              </w:rPr>
              <w:t>、职业健康安全意识</w:t>
            </w:r>
            <w:r>
              <w:rPr>
                <w:rFonts w:hint="default" w:ascii="宋体" w:hAnsi="宋体" w:cs="Arial"/>
                <w:spacing w:val="-6"/>
                <w:sz w:val="21"/>
                <w:szCs w:val="21"/>
                <w:lang w:val="en-US" w:eastAsia="zh-CN"/>
              </w:rPr>
              <w:t>较强。</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采用先进成熟的生产工艺，产品环境、职业健康安全有保证，规模较大，采取了横向联合流程性生产模式，产能有一定的优势。</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default" w:ascii="宋体" w:hAnsi="宋体" w:cs="Arial"/>
                <w:spacing w:val="-6"/>
                <w:sz w:val="21"/>
                <w:szCs w:val="21"/>
                <w:lang w:val="en-US" w:eastAsia="zh-CN"/>
              </w:rPr>
              <w:t>公司财务能保障公司质量/环境/职业健康安全管理体系运行所需</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公司的技术、销售基础设施、环保安全设施配备齐全、过程运行环境控制良好</w:t>
            </w:r>
            <w:r>
              <w:rPr>
                <w:rFonts w:hint="eastAsia" w:ascii="宋体" w:hAnsi="宋体" w:cs="Arial"/>
                <w:spacing w:val="-6"/>
                <w:sz w:val="21"/>
                <w:szCs w:val="21"/>
                <w:lang w:val="en-US" w:eastAsia="zh-CN"/>
              </w:rPr>
              <w:t>。</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经查，符合要求。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理解相关方的需求和期望</w:t>
            </w:r>
          </w:p>
          <w:p>
            <w:pPr>
              <w:rPr>
                <w:rFonts w:hint="eastAsia" w:ascii="宋体" w:hAnsi="宋体" w:cs="Arial"/>
                <w:spacing w:val="-6"/>
                <w:sz w:val="21"/>
                <w:szCs w:val="21"/>
              </w:rPr>
            </w:pP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w:t>
            </w:r>
            <w:r>
              <w:rPr>
                <w:rFonts w:hint="eastAsia" w:ascii="宋体" w:hAnsi="宋体" w:cs="Arial"/>
                <w:spacing w:val="-6"/>
                <w:sz w:val="21"/>
                <w:szCs w:val="21"/>
              </w:rPr>
              <w:t>4.2</w:t>
            </w:r>
          </w:p>
        </w:tc>
        <w:tc>
          <w:tcPr>
            <w:tcW w:w="10004" w:type="dxa"/>
          </w:tcPr>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确定了与质量、环境、职业健康安全管理体系有关的相关方包括顾客、采购环保合格原材料和合作供方、工商行政行政部门、计量和安全部门、总公司、科技局、财政局、物流服务企业、当地环保部门、第三方检测机构等。</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相关方对企业的要求有：遵守国家的现行法律法规、保持有效的资质、生产的产品节能环保，对环境无重大污染、无安全隐患、不断提高技术水平以及不断提高客户满意度等。</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对这些相关方监事和评审的方法有：上级文件、标准和规范的获取、设备器具检定、沟通等。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65" w:type="dxa"/>
          </w:tcPr>
          <w:p>
            <w:pPr>
              <w:rPr>
                <w:rFonts w:hint="eastAsia" w:ascii="宋体" w:hAnsi="宋体" w:cs="Arial"/>
                <w:color w:val="auto"/>
                <w:spacing w:val="-6"/>
                <w:sz w:val="21"/>
                <w:szCs w:val="21"/>
              </w:rPr>
            </w:pPr>
            <w:r>
              <w:rPr>
                <w:rFonts w:hint="eastAsia" w:ascii="宋体" w:hAnsi="宋体" w:cs="Arial"/>
                <w:color w:val="auto"/>
                <w:spacing w:val="-6"/>
                <w:sz w:val="21"/>
                <w:szCs w:val="21"/>
              </w:rPr>
              <w:t>应对风险和机遇的措施</w:t>
            </w:r>
          </w:p>
          <w:p>
            <w:pPr>
              <w:rPr>
                <w:rFonts w:hint="eastAsia" w:ascii="宋体" w:hAnsi="宋体" w:cs="Arial"/>
                <w:color w:val="auto"/>
                <w:spacing w:val="-6"/>
                <w:sz w:val="21"/>
                <w:szCs w:val="21"/>
              </w:rPr>
            </w:pPr>
            <w:r>
              <w:rPr>
                <w:rFonts w:hint="eastAsia" w:ascii="宋体" w:hAnsi="宋体" w:cs="Arial"/>
                <w:color w:val="auto"/>
                <w:spacing w:val="-6"/>
                <w:sz w:val="21"/>
                <w:szCs w:val="21"/>
              </w:rPr>
              <w:t>确定管理体系的范围</w:t>
            </w:r>
          </w:p>
          <w:p>
            <w:pPr>
              <w:rPr>
                <w:rFonts w:hint="eastAsia" w:ascii="宋体" w:hAnsi="宋体" w:cs="Arial"/>
                <w:color w:val="auto"/>
                <w:spacing w:val="-6"/>
                <w:sz w:val="21"/>
                <w:szCs w:val="21"/>
              </w:rPr>
            </w:pPr>
            <w:r>
              <w:rPr>
                <w:rFonts w:hint="eastAsia" w:ascii="宋体" w:hAnsi="宋体" w:cs="Arial"/>
                <w:color w:val="auto"/>
                <w:spacing w:val="-6"/>
                <w:sz w:val="21"/>
                <w:szCs w:val="21"/>
              </w:rPr>
              <w:t>管理体系及其过程</w:t>
            </w:r>
          </w:p>
          <w:p>
            <w:pPr>
              <w:rPr>
                <w:rFonts w:hint="eastAsia" w:ascii="宋体" w:hAnsi="宋体" w:cs="Arial"/>
                <w:color w:val="auto"/>
                <w:spacing w:val="-6"/>
                <w:sz w:val="21"/>
                <w:szCs w:val="21"/>
              </w:rPr>
            </w:pPr>
            <w:r>
              <w:rPr>
                <w:rFonts w:hint="eastAsia" w:ascii="宋体" w:hAnsi="宋体" w:cs="Arial"/>
                <w:color w:val="auto"/>
                <w:spacing w:val="-6"/>
                <w:sz w:val="21"/>
                <w:szCs w:val="21"/>
              </w:rPr>
              <w:t>变更的策划</w:t>
            </w:r>
          </w:p>
          <w:p>
            <w:pPr>
              <w:rPr>
                <w:rFonts w:hint="eastAsia" w:ascii="宋体" w:hAnsi="宋体" w:cs="Arial"/>
                <w:spacing w:val="-6"/>
                <w:sz w:val="21"/>
                <w:szCs w:val="21"/>
              </w:rPr>
            </w:pPr>
            <w:r>
              <w:rPr>
                <w:rFonts w:hint="eastAsia" w:ascii="宋体" w:hAnsi="宋体" w:cs="Arial"/>
                <w:color w:val="auto"/>
                <w:spacing w:val="-6"/>
                <w:sz w:val="21"/>
                <w:szCs w:val="21"/>
              </w:rPr>
              <w:t>删减合理性</w:t>
            </w: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QEO:6.1</w:t>
            </w:r>
          </w:p>
          <w:p>
            <w:pPr>
              <w:jc w:val="center"/>
              <w:rPr>
                <w:rFonts w:hint="eastAsia" w:ascii="宋体" w:hAnsi="宋体" w:cs="Arial"/>
                <w:spacing w:val="-6"/>
                <w:sz w:val="21"/>
                <w:szCs w:val="21"/>
              </w:rPr>
            </w:pPr>
            <w:r>
              <w:rPr>
                <w:rFonts w:hint="eastAsia" w:ascii="宋体" w:hAnsi="宋体" w:cs="Arial"/>
                <w:spacing w:val="-6"/>
                <w:sz w:val="21"/>
                <w:szCs w:val="21"/>
              </w:rPr>
              <w:t>4.3</w:t>
            </w:r>
          </w:p>
          <w:p>
            <w:pPr>
              <w:jc w:val="center"/>
              <w:rPr>
                <w:rFonts w:hint="eastAsia" w:ascii="宋体" w:hAnsi="宋体" w:cs="Arial"/>
                <w:spacing w:val="-6"/>
                <w:sz w:val="21"/>
                <w:szCs w:val="21"/>
              </w:rPr>
            </w:pPr>
            <w:r>
              <w:rPr>
                <w:rFonts w:hint="eastAsia" w:ascii="宋体" w:hAnsi="宋体" w:cs="Arial"/>
                <w:spacing w:val="-6"/>
                <w:sz w:val="21"/>
                <w:szCs w:val="21"/>
              </w:rPr>
              <w:t>4.4</w:t>
            </w:r>
          </w:p>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Q:6.3</w:t>
            </w:r>
          </w:p>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8.3</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基于对4.1和4.2的考虑，分析了公司存在的风险和机遇：</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机遇：</w:t>
            </w:r>
            <w:r>
              <w:rPr>
                <w:rFonts w:hint="default" w:ascii="宋体" w:hAnsi="宋体" w:cs="Arial"/>
                <w:spacing w:val="-6"/>
                <w:sz w:val="21"/>
                <w:szCs w:val="21"/>
                <w:lang w:val="en-US" w:eastAsia="zh-CN"/>
              </w:rPr>
              <w:t>行业市场的规模化，市场需求量很大</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销售市场巨大，目前市场经济对企业有较好的推动作用。</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风险：</w:t>
            </w:r>
            <w:r>
              <w:rPr>
                <w:rFonts w:hint="default" w:ascii="宋体" w:hAnsi="宋体" w:cs="Arial"/>
                <w:spacing w:val="-6"/>
                <w:sz w:val="21"/>
                <w:szCs w:val="21"/>
                <w:lang w:val="en-US" w:eastAsia="zh-CN"/>
              </w:rPr>
              <w:t>目前国内市场的同类产品有较多的品牌，竞争逐渐加剧。</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编制有《风险和机遇的应对控制程序》，对组织内外的风险和机遇进行了策划。</w:t>
            </w:r>
            <w:r>
              <w:rPr>
                <w:rFonts w:hint="eastAsia" w:ascii="宋体" w:hAnsi="宋体" w:cs="Arial"/>
                <w:spacing w:val="-6"/>
                <w:sz w:val="21"/>
                <w:szCs w:val="21"/>
                <w:lang w:val="en-US" w:eastAsia="zh-CN"/>
              </w:rPr>
              <w:t>介绍说，公司</w:t>
            </w:r>
            <w:r>
              <w:rPr>
                <w:rFonts w:hint="default" w:ascii="宋体" w:hAnsi="宋体" w:cs="Arial"/>
                <w:spacing w:val="-6"/>
                <w:sz w:val="21"/>
                <w:szCs w:val="21"/>
                <w:lang w:val="en-US" w:eastAsia="zh-CN"/>
              </w:rPr>
              <w:t>识别了风险和机遇来源、风险和机遇内容、管理措施、责任部门、实时时间、评价措施等</w:t>
            </w:r>
            <w:r>
              <w:rPr>
                <w:rFonts w:hint="eastAsia" w:ascii="宋体" w:hAnsi="宋体" w:cs="Arial"/>
                <w:spacing w:val="-6"/>
                <w:sz w:val="21"/>
                <w:szCs w:val="21"/>
                <w:lang w:val="en-US" w:eastAsia="zh-CN"/>
              </w:rPr>
              <w:t>；</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重大环境因素：潜在火灾，噪音排放、废气/粉尘排放、废水排放、固废排放；</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控制措施：一般固废集中收集外售至废品回收站；危废委托有资质单位回收；选用低噪声设备，合理布局，隔声减震，厂房隔音；设备、电路定期检修、不定期检查，提高安全意识；做好火灾预防措施。一旦发生按相关应急预案执行；制定目标、指标；设备、电路定期检修、降低跑冒滴漏。</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不可接受风险：火灾，触电、粉尘伤害、噪声伤害、机械伤害；</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控制措施：选用低噪声设备，合理布局，隔声减震；设备加防护罩、设备/电路定期检修、不定期检查，提高安全意识；做好火灾预防措施。一旦发生按相关应急预案执行；加强个体防护。</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为应对相应的风险和机遇，公司依据GB/T19001-2016、GB/T24001-2016、GB/T45001-2020标准的要求并结合本公司的具体情况，采取PDCA的过程方法，建立、实施、保持并持续改进质量、环境、职业健康安全管理体系。编制《管理手册》A/0版，管理体系于2020.7.1建立并正式实施。另编制程序文件26个，版本号：A/0，2020年7月01日实施；作业指导书17个；建立有外来文件清单，收集法律法规和技术标准、规范等17个；建立环境、职业健康安全法律法规和其他要求清单，共98个。</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本公司识别并确定了如下分工及过程：采购过程、生产过程、销售过程、检验与交付过程、绩效分析、评价与改进等多个过程。</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 xml:space="preserve">生产工艺流程如下： </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切割下料→冲压 → 折弯→焊接→打磨表面处理→喷涂烘干→组装→包装→成品入库</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产品销售流程如下：</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产品要求信息获取----产品要求评审-----签订合同----采购 -----质检------销售</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管理体系新建，尚未发生变更。</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管理手册中</w:t>
            </w:r>
            <w:r>
              <w:rPr>
                <w:rFonts w:hint="default" w:ascii="宋体" w:hAnsi="宋体" w:cs="Arial"/>
                <w:spacing w:val="-6"/>
                <w:sz w:val="21"/>
                <w:szCs w:val="21"/>
                <w:lang w:val="en-US" w:eastAsia="zh-CN"/>
              </w:rPr>
              <w:t>确</w:t>
            </w:r>
            <w:r>
              <w:rPr>
                <w:rFonts w:hint="eastAsia" w:ascii="宋体" w:hAnsi="宋体" w:cs="Arial"/>
                <w:spacing w:val="-6"/>
                <w:sz w:val="21"/>
                <w:szCs w:val="21"/>
                <w:lang w:val="en-US" w:eastAsia="zh-CN"/>
              </w:rPr>
              <w:t>丁</w:t>
            </w:r>
            <w:r>
              <w:rPr>
                <w:rFonts w:hint="default" w:ascii="宋体" w:hAnsi="宋体" w:cs="Arial"/>
                <w:spacing w:val="-6"/>
                <w:sz w:val="21"/>
                <w:szCs w:val="21"/>
                <w:lang w:val="en-US" w:eastAsia="zh-CN"/>
              </w:rPr>
              <w:t>的认证范围：</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QMS：“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default" w:ascii="宋体" w:hAnsi="宋体" w:cs="Arial"/>
                <w:spacing w:val="-6"/>
                <w:sz w:val="21"/>
                <w:szCs w:val="21"/>
                <w:lang w:val="en-US" w:eastAsia="zh-CN"/>
              </w:rPr>
              <w:t>不适用条款：</w:t>
            </w:r>
            <w:r>
              <w:rPr>
                <w:rFonts w:hint="eastAsia" w:ascii="宋体" w:hAnsi="宋体" w:cs="Arial"/>
                <w:spacing w:val="-6"/>
                <w:sz w:val="21"/>
                <w:szCs w:val="21"/>
                <w:lang w:val="en-US" w:eastAsia="zh-CN"/>
              </w:rPr>
              <w:t>Q</w:t>
            </w:r>
            <w:r>
              <w:rPr>
                <w:rFonts w:hint="default" w:ascii="宋体" w:hAnsi="宋体" w:cs="Arial"/>
                <w:spacing w:val="-6"/>
                <w:sz w:val="21"/>
                <w:szCs w:val="21"/>
                <w:lang w:val="en-US" w:eastAsia="zh-CN"/>
              </w:rPr>
              <w:t>8.3。参照行业标准、企业规范及客户提供的尺寸要求转换为技术图纸、工艺要求组织生产，其生产过程不涉及管理体系标准中8.3条款内容</w:t>
            </w:r>
            <w:r>
              <w:rPr>
                <w:rFonts w:hint="eastAsia" w:ascii="宋体" w:hAnsi="宋体" w:cs="Arial"/>
                <w:spacing w:val="-6"/>
                <w:sz w:val="21"/>
                <w:szCs w:val="21"/>
                <w:lang w:val="en-US" w:eastAsia="zh-CN"/>
              </w:rPr>
              <w:t>，删减不影响公司确保其产品和服务合格的能力或责任，对增强顾客满意也不会产生影响，基本合理。</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经</w:t>
            </w:r>
            <w:r>
              <w:rPr>
                <w:rFonts w:hint="default" w:ascii="宋体" w:hAnsi="宋体" w:cs="Arial"/>
                <w:spacing w:val="-6"/>
                <w:sz w:val="21"/>
                <w:szCs w:val="21"/>
                <w:lang w:val="en-US" w:eastAsia="zh-CN"/>
              </w:rPr>
              <w:t>识别</w:t>
            </w:r>
            <w:r>
              <w:rPr>
                <w:rFonts w:hint="eastAsia" w:ascii="宋体" w:hAnsi="宋体" w:cs="Arial"/>
                <w:spacing w:val="-6"/>
                <w:sz w:val="21"/>
                <w:szCs w:val="21"/>
                <w:lang w:val="en-US" w:eastAsia="zh-CN"/>
              </w:rPr>
              <w:t>，公司</w:t>
            </w:r>
            <w:r>
              <w:rPr>
                <w:rFonts w:hint="default" w:ascii="宋体" w:hAnsi="宋体" w:cs="Arial"/>
                <w:spacing w:val="-6"/>
                <w:sz w:val="21"/>
                <w:szCs w:val="21"/>
                <w:lang w:val="en-US" w:eastAsia="zh-CN"/>
              </w:rPr>
              <w:t>无外包过程</w:t>
            </w:r>
            <w:r>
              <w:rPr>
                <w:rFonts w:hint="eastAsia" w:ascii="宋体" w:hAnsi="宋体" w:cs="Arial"/>
                <w:spacing w:val="-6"/>
                <w:sz w:val="21"/>
                <w:szCs w:val="21"/>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领导作用和承诺</w:t>
            </w:r>
          </w:p>
          <w:p>
            <w:pPr>
              <w:rPr>
                <w:rFonts w:hint="eastAsia" w:ascii="宋体" w:hAnsi="宋体" w:cs="Arial"/>
                <w:spacing w:val="-6"/>
                <w:sz w:val="21"/>
                <w:szCs w:val="21"/>
              </w:rPr>
            </w:pPr>
            <w:r>
              <w:rPr>
                <w:rFonts w:hint="eastAsia" w:ascii="宋体" w:hAnsi="宋体" w:cs="Arial"/>
                <w:spacing w:val="-6"/>
                <w:sz w:val="21"/>
                <w:szCs w:val="21"/>
              </w:rPr>
              <w:t>组织的岗位、职责和权限</w:t>
            </w:r>
          </w:p>
          <w:p>
            <w:pPr>
              <w:rPr>
                <w:rFonts w:hint="eastAsia" w:ascii="宋体" w:hAnsi="宋体" w:cs="Arial"/>
                <w:spacing w:val="-6"/>
                <w:sz w:val="21"/>
                <w:szCs w:val="21"/>
              </w:rPr>
            </w:pP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QEO:5.1</w:t>
            </w:r>
          </w:p>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5.3</w:t>
            </w:r>
          </w:p>
          <w:p>
            <w:pPr>
              <w:rPr>
                <w:rFonts w:hint="default"/>
                <w:lang w:val="en-US" w:eastAsia="zh-CN"/>
              </w:rPr>
            </w:pP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公司部门设置有：行政部、采购部、销售部、生产部、质检部；</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编制了岗位职责汇编，以文件上发的形式沟通各部门的职责及各部门之间工作的联系。</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lang w:val="en-US" w:eastAsia="zh-CN"/>
              </w:rPr>
              <w:t>管理</w:t>
            </w:r>
            <w:r>
              <w:rPr>
                <w:rFonts w:hint="eastAsia" w:ascii="宋体" w:hAnsi="宋体" w:cs="Arial"/>
                <w:spacing w:val="-6"/>
                <w:sz w:val="21"/>
                <w:szCs w:val="21"/>
              </w:rPr>
              <w:t>方针</w:t>
            </w:r>
          </w:p>
          <w:p>
            <w:r>
              <w:rPr>
                <w:rFonts w:hint="eastAsia" w:ascii="宋体" w:hAnsi="宋体" w:cs="Arial"/>
                <w:spacing w:val="-6"/>
                <w:sz w:val="21"/>
                <w:szCs w:val="21"/>
              </w:rPr>
              <w:t>目标及其实现的策划</w:t>
            </w: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QEO:5.2</w:t>
            </w:r>
          </w:p>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6.2</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公司建立的管理方针为：</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 xml:space="preserve">质量方针：质量至上、持续创新、诚实守信、顾客至上 </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环境职业健康安全方针：预防为主，降低风险；遵章守法，创造和谐</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方针适宜于公司现状，在管理手册中明确，通过文件发放，是员工获知，适用时提供给相关方。并以方针为框架，建立了公司管理目标：</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产品质量目标：产品出厂合格率100%</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 xml:space="preserve">              客户满意度大于92分 </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产品一次交验合格率≥95%</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安环目标：固体废弃物分类处置率100%</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火灾、触电、机械伤害控制事故为0</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职业病发病为0</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提供了本公司的环境和安全管理方案和控制措施。基本符合。</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保留“管理目标/指标分解考核表”，显示对管理目标进行了分解，2020年7月-12月所有目标均已完成。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资源总则</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QEO:7.1</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阳光集团总资产突破25020万元，注册资金31188万元，占地面积110亩，总投资6亿元，主要生产密集架、保险柜、枪弹柜、书架等产品。</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公司现有员工40余人，其中科技人员17人，高级职称1人，中级职称5人。</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公司坚持自主创新，先后获得发明专利2个，外观专利3个，实用型专利26个，软件著作权4个。</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公司主要设备包括：成型机、开屏机、数控冲床、折弯机、切管机、切割机、焊接机器人、喷涂线（含除尘装置）、储气罐、起重设备、污水处理装置、配电柜、</w:t>
            </w:r>
            <w:r>
              <w:rPr>
                <w:rFonts w:hint="default" w:ascii="宋体" w:hAnsi="宋体" w:cs="Arial"/>
                <w:spacing w:val="-6"/>
                <w:sz w:val="21"/>
                <w:szCs w:val="21"/>
                <w:lang w:val="en-US" w:eastAsia="zh-CN"/>
              </w:rPr>
              <w:t>游标卡尺、钢卷尺等</w:t>
            </w:r>
            <w:r>
              <w:rPr>
                <w:rFonts w:hint="eastAsia" w:ascii="宋体" w:hAnsi="宋体" w:cs="Arial"/>
                <w:spacing w:val="-6"/>
                <w:sz w:val="21"/>
                <w:szCs w:val="21"/>
                <w:lang w:val="en-US" w:eastAsia="zh-CN"/>
              </w:rPr>
              <w:t>；</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公司从日本引进的阿玛达数控冲床、OTC自动焊接机器人，从德国引进的激光切割机、静电喷塑流水线，智能化水平全国领先。</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确认公司目前人力资源、基础设施、销售人员、财力、信息等资源均能保证。公司厂房，库房、行政部、会议室，现场配备了灭火器、消防栓等消防安全设备，能保证企业正常办公。</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公司财务能保证质量、环境、职业健康安全工作的开展，确保相关资金及时投入。</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基本能满足体系运行的要求。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沟通/信息交流</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QEO:7.4</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编制了《信息交流、协商和沟通控制程序》，确了内部外部信息交流的内容及职责，包含重要环境因素、不可接受风险、管理方针、应急控制等的交流规定，基本符合。</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日常对于质量、环保、安全方面的信息主要利用会议、培训、座谈、电话、网络、收文等方式进行内外部沟通和协商。</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经交流，体系运行中，通过信息联络单、口头、电话、办公会议、生产现场协调会等方式进行内部沟通，通过宣贯培训让员工充分认识到质量环境、职业健康安全体系的要求。</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内部、外部沟通协商的机制已建立运行，有效。</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现场查见会议记录、通知通报、培训记录、文件签收等组织内部培训方式相关记录。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管理评审</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QEO:9.3</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bookmarkStart w:id="0" w:name="_GoBack"/>
            <w:r>
              <w:rPr>
                <w:rFonts w:hint="eastAsia" w:ascii="宋体" w:hAnsi="宋体" w:cs="Arial"/>
                <w:spacing w:val="-6"/>
                <w:sz w:val="21"/>
                <w:szCs w:val="21"/>
                <w:lang w:val="en-US" w:eastAsia="zh-CN"/>
              </w:rPr>
              <w:t>2020年11月17日召开管理评审会议，由丁海新总经理主持；</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保留管理评审计划、管理评审报告、管理评审会议纪要等；</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管理评审输入充分；</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管理评审结论：管理体系的建立和运行是充分的、适宜的、有效的。</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改进措施要求：</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1）加强供应商质量控制；</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2）加强内部管理，提高人员综合素质；</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3）ISO管理体系文件改进。</w:t>
            </w:r>
            <w:bookmarkEnd w:id="0"/>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改进</w:t>
            </w:r>
          </w:p>
          <w:p>
            <w:pPr>
              <w:rPr>
                <w:rFonts w:hint="eastAsia" w:ascii="宋体" w:hAnsi="宋体" w:cs="Arial"/>
                <w:spacing w:val="-6"/>
                <w:sz w:val="21"/>
                <w:szCs w:val="21"/>
              </w:rPr>
            </w:pPr>
            <w:r>
              <w:rPr>
                <w:rFonts w:hint="eastAsia" w:ascii="宋体" w:hAnsi="宋体" w:cs="Arial"/>
                <w:spacing w:val="-6"/>
                <w:sz w:val="21"/>
                <w:szCs w:val="21"/>
              </w:rPr>
              <w:t>持续改进</w:t>
            </w: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QEO:10.1</w:t>
            </w:r>
          </w:p>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10.3</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65"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协商与参与</w:t>
            </w:r>
          </w:p>
        </w:tc>
        <w:tc>
          <w:tcPr>
            <w:tcW w:w="1155" w:type="dxa"/>
            <w:vAlign w:val="top"/>
          </w:tcPr>
          <w:p>
            <w:pPr>
              <w:rPr>
                <w:rFonts w:hint="default"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O：5.4</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经选举确定职业健康安全事务代表是胡念，与其座谈：其清楚自己的职责：负责向管理层反映职工职业健康安全管理方面的要求，对事件的调查、处理，职工劳动防护的改善事宜进行协商交流；参与职业安全健康方针、目标、指标、管理方案的制定工作，提出合理化建议。</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通过员工代表的积极争取，员工的劳保用品得到合理配备并及时发放；每年为一线职工体检一次等。</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965" w:type="dxa"/>
            <w:vAlign w:val="top"/>
          </w:tcPr>
          <w:p>
            <w:pPr>
              <w:rPr>
                <w:rFonts w:hint="eastAsia" w:ascii="宋体" w:hAnsi="宋体" w:cs="Arial"/>
                <w:spacing w:val="-6"/>
                <w:sz w:val="21"/>
                <w:szCs w:val="21"/>
                <w:lang w:val="en-US" w:eastAsia="zh-CN"/>
              </w:rPr>
            </w:pPr>
            <w:r>
              <w:rPr>
                <w:rFonts w:hint="eastAsia" w:ascii="宋体" w:hAnsi="宋体" w:cs="Arial"/>
                <w:spacing w:val="-6"/>
                <w:sz w:val="21"/>
                <w:szCs w:val="21"/>
              </w:rPr>
              <w:t>国家/地方抽查、顾客满意、相关方投诉处理</w:t>
            </w:r>
          </w:p>
        </w:tc>
        <w:tc>
          <w:tcPr>
            <w:tcW w:w="1155" w:type="dxa"/>
          </w:tcPr>
          <w:p>
            <w:pPr>
              <w:rPr>
                <w:rFonts w:hint="default" w:eastAsia="宋体"/>
                <w:lang w:val="en-US" w:eastAsia="zh-CN"/>
              </w:rPr>
            </w:pP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自公司成立以来，未受到上级主管部门有关质量、环境问题、职业健康安全的行政处罚。</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未发生相关方的投诉。</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暂时没有国家/地方抽查情况。</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目前没有相关行政主管部门的检查处罚，在审核现场也未发现抽查、相关方投诉等情况。</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通过发放顾客满意度调查，经统计分析，顾客满意度为97分。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965" w:type="dxa"/>
            <w:vAlign w:val="top"/>
          </w:tcPr>
          <w:p>
            <w:pPr>
              <w:rPr>
                <w:rFonts w:hint="eastAsia" w:ascii="宋体" w:hAnsi="宋体" w:cs="Arial"/>
                <w:spacing w:val="-6"/>
                <w:sz w:val="21"/>
                <w:szCs w:val="21"/>
                <w:lang w:val="en-US" w:eastAsia="zh-CN"/>
              </w:rPr>
            </w:pPr>
            <w:r>
              <w:rPr>
                <w:rFonts w:hint="eastAsia" w:ascii="宋体" w:hAnsi="宋体" w:cs="Arial"/>
                <w:spacing w:val="-6"/>
                <w:sz w:val="21"/>
                <w:szCs w:val="21"/>
              </w:rPr>
              <w:t>验证资质</w:t>
            </w:r>
          </w:p>
        </w:tc>
        <w:tc>
          <w:tcPr>
            <w:tcW w:w="1155" w:type="dxa"/>
          </w:tcPr>
          <w:p/>
        </w:tc>
        <w:tc>
          <w:tcPr>
            <w:tcW w:w="10004" w:type="dxa"/>
          </w:tcPr>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经查验营业执照和排污许可证均有效。信用平台查询，无不良信息。</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vAlign w:val="top"/>
          </w:tcPr>
          <w:p>
            <w:pPr>
              <w:rPr>
                <w:rFonts w:hint="eastAsia" w:ascii="宋体" w:hAnsi="宋体" w:cs="Arial"/>
                <w:spacing w:val="-6"/>
                <w:sz w:val="21"/>
                <w:szCs w:val="21"/>
                <w:lang w:val="en-US" w:eastAsia="zh-CN"/>
              </w:rPr>
            </w:pPr>
            <w:r>
              <w:rPr>
                <w:rFonts w:hint="eastAsia" w:ascii="宋体" w:hAnsi="宋体" w:cs="Arial"/>
                <w:spacing w:val="-6"/>
                <w:sz w:val="21"/>
                <w:szCs w:val="21"/>
              </w:rPr>
              <w:t>一阶段问题验证</w:t>
            </w:r>
          </w:p>
        </w:tc>
        <w:tc>
          <w:tcPr>
            <w:tcW w:w="1155" w:type="dxa"/>
          </w:tcP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一阶段文件审核时发现的问题，经现场验证已关闭，整改措施有效。</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00BC6"/>
    <w:rsid w:val="725F6FA8"/>
    <w:rsid w:val="72F42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11</TotalTime>
  <ScaleCrop>false</ScaleCrop>
  <LinksUpToDate>false</LinksUpToDate>
  <CharactersWithSpaces>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2021-01-28T03:45:15Z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