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天津市福德缘物业有限公司</w:t>
      </w:r>
      <w:bookmarkEnd w:id="1"/>
    </w:p>
    <w:p>
      <w:pPr>
        <w:pStyle w:val="2"/>
        <w:spacing w:line="400" w:lineRule="exact"/>
        <w:ind w:firstLine="632" w:firstLineChars="286"/>
        <w:rPr>
          <w:rFonts w:ascii="微软雅黑" w:hAnsi="微软雅黑" w:eastAsia="微软雅黑" w:cs="微软雅黑"/>
          <w:i w:val="0"/>
          <w:caps w:val="0"/>
          <w:color w:val="333333"/>
          <w:spacing w:val="0"/>
          <w:sz w:val="24"/>
          <w:szCs w:val="24"/>
          <w:shd w:val="clear" w:fill="F5F5F5"/>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Tianjin Fudeyuan Property Co. , Ltd.</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天津市津南区咸水沽镇津歧路同发里平房3号底商</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300350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Tianjin City, Jinnan District, Xianshuigu town, Jinqi road, Tongfa Li Bungalow No. 3 shop</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天津市津南区咸水沽镇津歧路同发里平房3号底商</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300350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Tianjin City, Jinnan District, Xianshuigu town, Jinqi road, Tongfa Li Bungalow No. 3 shop</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911201126940708383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13312069169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王家红</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高树茂</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Property Management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Property management involves the relevant environmental management activities of the premises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Property management involves the site-related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02B6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2021-02-03T14:57:41Z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