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天津市福德缘物业有限公司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sz w:val="18"/>
                <w:szCs w:val="18"/>
              </w:rPr>
            </w:pPr>
            <w:r>
              <w:rPr>
                <w:b/>
                <w:color w:val="000000" w:themeColor="text1"/>
                <w:sz w:val="20"/>
                <w:szCs w:val="20"/>
              </w:rPr>
              <w:t>冯雪峥</w:t>
            </w:r>
          </w:p>
        </w:tc>
        <w:tc>
          <w:tcPr>
            <w:tcW w:w="992" w:type="dxa"/>
            <w:vAlign w:val="center"/>
          </w:tcPr>
          <w:p>
            <w:pPr>
              <w:spacing w:line="240" w:lineRule="exact"/>
              <w:jc w:val="center"/>
              <w:rPr>
                <w:rFonts w:hint="eastAsia"/>
                <w:sz w:val="18"/>
                <w:szCs w:val="18"/>
              </w:rPr>
            </w:pPr>
            <w:r>
              <w:rPr>
                <w:b/>
                <w:color w:val="000000" w:themeColor="text1"/>
                <w:sz w:val="20"/>
                <w:szCs w:val="20"/>
              </w:rPr>
              <w:t>组员</w:t>
            </w:r>
          </w:p>
        </w:tc>
        <w:tc>
          <w:tcPr>
            <w:tcW w:w="1216" w:type="dxa"/>
            <w:vAlign w:val="center"/>
          </w:tcPr>
          <w:p>
            <w:pPr>
              <w:spacing w:line="240" w:lineRule="exact"/>
              <w:jc w:val="center"/>
              <w:rPr>
                <w:rFonts w:hint="eastAsia"/>
                <w:sz w:val="18"/>
                <w:szCs w:val="18"/>
              </w:rPr>
            </w:pPr>
            <w:r>
              <w:rPr>
                <w:b/>
                <w:color w:val="000000" w:themeColor="text1"/>
                <w:sz w:val="20"/>
                <w:szCs w:val="20"/>
              </w:rPr>
              <w:t>女</w:t>
            </w:r>
          </w:p>
        </w:tc>
        <w:tc>
          <w:tcPr>
            <w:tcW w:w="3478" w:type="dxa"/>
            <w:gridSpan w:val="3"/>
            <w:vAlign w:val="center"/>
          </w:tcPr>
          <w:p>
            <w:pPr>
              <w:spacing w:line="240" w:lineRule="exact"/>
              <w:jc w:val="center"/>
              <w:rPr>
                <w:sz w:val="18"/>
                <w:szCs w:val="18"/>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sz w:val="18"/>
                <w:szCs w:val="18"/>
              </w:rPr>
            </w:pPr>
            <w:r>
              <w:rPr>
                <w:b/>
                <w:color w:val="000000" w:themeColor="text1"/>
                <w:sz w:val="20"/>
                <w:szCs w:val="20"/>
              </w:rPr>
              <w:t>刘本胜</w:t>
            </w:r>
          </w:p>
        </w:tc>
        <w:tc>
          <w:tcPr>
            <w:tcW w:w="992" w:type="dxa"/>
            <w:vAlign w:val="center"/>
          </w:tcPr>
          <w:p>
            <w:pPr>
              <w:spacing w:line="240" w:lineRule="exact"/>
              <w:jc w:val="center"/>
              <w:rPr>
                <w:rFonts w:hint="eastAsia"/>
                <w:sz w:val="18"/>
                <w:szCs w:val="18"/>
              </w:rPr>
            </w:pPr>
            <w:r>
              <w:rPr>
                <w:b/>
                <w:color w:val="000000" w:themeColor="text1"/>
                <w:sz w:val="20"/>
                <w:szCs w:val="20"/>
              </w:rPr>
              <w:t>组员</w:t>
            </w:r>
          </w:p>
        </w:tc>
        <w:tc>
          <w:tcPr>
            <w:tcW w:w="1216" w:type="dxa"/>
            <w:vAlign w:val="center"/>
          </w:tcPr>
          <w:p>
            <w:pPr>
              <w:spacing w:line="240" w:lineRule="exact"/>
              <w:jc w:val="center"/>
              <w:rPr>
                <w:rFonts w:hint="eastAsia"/>
                <w:sz w:val="18"/>
                <w:szCs w:val="18"/>
              </w:rPr>
            </w:pPr>
            <w:r>
              <w:rPr>
                <w:b/>
                <w:color w:val="000000" w:themeColor="text1"/>
                <w:sz w:val="20"/>
                <w:szCs w:val="20"/>
              </w:rPr>
              <w:t>男</w:t>
            </w:r>
          </w:p>
        </w:tc>
        <w:tc>
          <w:tcPr>
            <w:tcW w:w="3478" w:type="dxa"/>
            <w:gridSpan w:val="3"/>
            <w:vAlign w:val="center"/>
          </w:tcPr>
          <w:p>
            <w:pPr>
              <w:spacing w:line="240" w:lineRule="exact"/>
              <w:jc w:val="center"/>
              <w:rPr>
                <w:sz w:val="18"/>
                <w:szCs w:val="18"/>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天津市福德缘物业有限公司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天津市津南区咸水沽镇津歧路同发里平房3号底商</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pPr>
            <w:r>
              <w:rPr>
                <w:rFonts w:ascii="宋体" w:hAnsi="宋体"/>
                <w:b/>
                <w:color w:val="000000" w:themeColor="text1"/>
                <w:sz w:val="20"/>
                <w:szCs w:val="20"/>
              </w:rPr>
              <w:t>天津市津南区咸水沽镇津歧路同发里平房3号底商</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高树茂</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13312069169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王家红</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王家红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高树茂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color w:val="000000"/>
                <w:szCs w:val="21"/>
              </w:rPr>
            </w:pPr>
            <w:bookmarkStart w:id="1" w:name="审核范围"/>
            <w:r>
              <w:rPr>
                <w:rFonts w:hint="eastAsia" w:ascii="宋体" w:hAnsi="宋体"/>
                <w:szCs w:val="21"/>
              </w:rPr>
              <w:t>Q：物业管理</w:t>
            </w:r>
          </w:p>
          <w:p>
            <w:pPr>
              <w:rPr>
                <w:rFonts w:ascii="宋体" w:hAnsi="宋体"/>
                <w:szCs w:val="21"/>
              </w:rPr>
            </w:pPr>
            <w:r>
              <w:rPr>
                <w:rFonts w:hint="eastAsia" w:ascii="宋体" w:hAnsi="宋体"/>
                <w:szCs w:val="21"/>
              </w:rPr>
              <w:t>E：物业管理及相关环境管理活动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O：物业管理及相关职业健康安全管理活动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b/>
                <w:szCs w:val="21"/>
              </w:rPr>
            </w:pPr>
            <w:bookmarkStart w:id="2" w:name="专业代码"/>
            <w:r>
              <w:rPr>
                <w:rFonts w:hint="eastAsia"/>
                <w:b/>
                <w:szCs w:val="21"/>
              </w:rPr>
              <w:t>Q：35.15.00</w:t>
            </w:r>
          </w:p>
          <w:p>
            <w:pPr>
              <w:rPr>
                <w:b/>
                <w:szCs w:val="21"/>
              </w:rPr>
            </w:pPr>
            <w:r>
              <w:rPr>
                <w:rFonts w:hint="eastAsia"/>
                <w:b/>
                <w:szCs w:val="21"/>
              </w:rPr>
              <w:t>E：35.15.00</w:t>
            </w:r>
          </w:p>
          <w:p>
            <w:pPr>
              <w:spacing w:line="320" w:lineRule="exact"/>
              <w:rPr>
                <w:rFonts w:ascii="宋体" w:hAnsi="宋体"/>
                <w:b/>
                <w:color w:val="000000" w:themeColor="text1"/>
                <w:sz w:val="20"/>
                <w:szCs w:val="20"/>
              </w:rPr>
            </w:pPr>
            <w:r>
              <w:rPr>
                <w:rFonts w:hint="eastAsia"/>
                <w:b/>
                <w:szCs w:val="21"/>
              </w:rPr>
              <w:t>O：35.15.00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3" w:name="体系运行时间"/>
            <w:r>
              <w:rPr>
                <w:rFonts w:ascii="宋体" w:hAnsi="宋体"/>
                <w:b/>
                <w:color w:val="000000" w:themeColor="text1"/>
                <w:sz w:val="20"/>
                <w:szCs w:val="20"/>
              </w:rPr>
              <w:t>2020-06-10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rPr>
            </w:pPr>
            <w:r>
              <w:rPr>
                <w:rFonts w:hint="eastAsia"/>
              </w:rPr>
              <w:t xml:space="preserve">天津市东丽区职业教育中心学校变电站运行维护项目   物业管理   </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项目</w:t>
            </w:r>
            <w:r>
              <w:rPr>
                <w:rFonts w:hint="eastAsia" w:ascii="宋体" w:hAnsi="宋体"/>
                <w:b/>
                <w:color w:val="000000" w:themeColor="text1"/>
                <w:sz w:val="20"/>
                <w:szCs w:val="20"/>
              </w:rPr>
              <w:t>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物业管理</w:t>
            </w:r>
            <w:r>
              <w:rPr>
                <w:rFonts w:hint="eastAsia" w:ascii="宋体" w:hAnsi="宋体" w:cs="宋体"/>
                <w:szCs w:val="21"/>
              </w:rPr>
              <w:t>的实施、负责</w:t>
            </w:r>
            <w:r>
              <w:rPr>
                <w:rFonts w:hint="eastAsia" w:ascii="宋体" w:hAnsi="宋体"/>
                <w:szCs w:val="21"/>
              </w:rPr>
              <w:t>物业管理</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物业管理</w:t>
            </w:r>
            <w:r>
              <w:rPr>
                <w:rFonts w:hint="eastAsia" w:ascii="宋体" w:hAnsi="宋体" w:cs="宋体"/>
                <w:szCs w:val="21"/>
              </w:rPr>
              <w:t>项目进度和工作质量的把控、负责</w:t>
            </w:r>
            <w:r>
              <w:rPr>
                <w:rFonts w:hint="eastAsia" w:ascii="宋体" w:hAnsi="宋体"/>
                <w:szCs w:val="21"/>
              </w:rPr>
              <w:t>物业管理</w:t>
            </w:r>
            <w:r>
              <w:rPr>
                <w:rFonts w:hint="eastAsia" w:ascii="宋体" w:hAnsi="宋体" w:cs="宋体"/>
                <w:szCs w:val="21"/>
              </w:rPr>
              <w:t>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物业管理</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4" w:name="OLE_LINK1"/>
      <w:r>
        <w:rPr>
          <w:rFonts w:hint="eastAsia"/>
          <w:b/>
          <w:color w:val="000000" w:themeColor="text1"/>
          <w:spacing w:val="-10"/>
          <w:szCs w:val="21"/>
          <w:u w:val="single"/>
        </w:rPr>
        <w:t xml:space="preserve">  10   </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auto"/>
                <w:sz w:val="20"/>
                <w:szCs w:val="20"/>
              </w:rPr>
            </w:pPr>
            <w:r>
              <w:rPr>
                <w:rFonts w:hint="eastAsia" w:ascii="宋体" w:hAnsi="宋体"/>
                <w:b/>
                <w:color w:val="auto"/>
                <w:sz w:val="20"/>
                <w:szCs w:val="20"/>
              </w:rPr>
              <w:t>(一)策划的充分与合理性</w:t>
            </w:r>
          </w:p>
        </w:tc>
        <w:tc>
          <w:tcPr>
            <w:tcW w:w="9198" w:type="dxa"/>
          </w:tcPr>
          <w:p>
            <w:pPr>
              <w:spacing w:line="240" w:lineRule="exact"/>
              <w:rPr>
                <w:color w:val="auto"/>
              </w:rPr>
            </w:pPr>
            <w:r>
              <w:rPr>
                <w:color w:val="auto"/>
              </w:rPr>
              <w:t>1、</w:t>
            </w:r>
            <w:r>
              <w:rPr>
                <w:rFonts w:hint="eastAsia"/>
                <w:color w:val="auto"/>
              </w:rPr>
              <w:t>组织及其环境的识别情况</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天津市福德缘物业有限公司,2009年09月14日成立，统一社会信用代码</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911201126940708383  ，注册资本：103.00万人民币，营业期限：2009-09-14 至 2029-09-13</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注 册 地 址</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天津市津南区咸水沽镇津歧路同发里平房3号底商</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生产经营地址</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天津市津南区咸水沽镇津歧路同发里平房3号底商</w:t>
            </w:r>
          </w:p>
          <w:p>
            <w:pPr>
              <w:pStyle w:val="2"/>
              <w:rPr>
                <w:color w:val="auto"/>
              </w:rPr>
            </w:pPr>
            <w:r>
              <w:rPr>
                <w:rFonts w:hint="eastAsia" w:ascii="Times New Roman" w:hAnsi="Times New Roman" w:eastAsia="宋体" w:cs="Times New Roman"/>
                <w:bCs w:val="0"/>
                <w:color w:val="auto"/>
                <w:spacing w:val="0"/>
                <w:kern w:val="2"/>
                <w:sz w:val="21"/>
                <w:szCs w:val="24"/>
                <w:lang w:val="en-US" w:eastAsia="zh-CN" w:bidi="ar-SA"/>
              </w:rPr>
              <w:t>经营范围包括一般项目：物业管理；园林绿化工程施工；建筑装饰、水暖管道零件及其他建筑用金属制品制造；劳务服务（不含劳务派遣）；汽车租赁；平面设计；日用百货销售；五金产品零售；建筑材料销售；日用杂品销售；服装服饰零售；鞋帽零售；文具用品零售；办公用品销售；建筑工程机械与设备租赁；装卸搬运；工程管理服务；土石方工程施工。（除依法须经批准的项目外，凭营业执照依法自主开展经营活动）。许可项目：住宅室内装饰装修；各类工程建设活动；建筑劳务分包；水产养殖。（依法须经批准的项目，经相关部门批准后方可开展经营活动，具体经营项目以相关部门批准文件或许可证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相关方需求和期望识别情况</w:t>
            </w:r>
          </w:p>
          <w:p>
            <w:pPr>
              <w:rPr>
                <w:color w:val="auto"/>
              </w:rPr>
            </w:pPr>
            <w:r>
              <w:rPr>
                <w:rFonts w:hint="eastAsia"/>
                <w:color w:val="auto"/>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color w:val="auto"/>
              </w:rPr>
            </w:pPr>
            <w:r>
              <w:rPr>
                <w:rFonts w:hint="eastAsia"/>
                <w:color w:val="auto"/>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80" w:lineRule="exact"/>
              <w:rPr>
                <w:rFonts w:ascii="宋体" w:hAnsi="宋体"/>
                <w:b/>
                <w:color w:val="auto"/>
                <w:sz w:val="20"/>
                <w:szCs w:val="20"/>
              </w:rPr>
            </w:pPr>
            <w:r>
              <w:rPr>
                <w:b/>
                <w:color w:val="auto"/>
                <w:sz w:val="20"/>
                <w:szCs w:val="20"/>
              </w:rPr>
              <w:t>3.</w:t>
            </w:r>
            <w:r>
              <w:rPr>
                <w:rFonts w:hint="eastAsia" w:ascii="宋体" w:hAnsi="宋体" w:cs="宋体"/>
                <w:b/>
                <w:color w:val="auto"/>
                <w:spacing w:val="-10"/>
                <w:sz w:val="20"/>
                <w:szCs w:val="20"/>
              </w:rPr>
              <w:t>█</w:t>
            </w:r>
            <w:r>
              <w:rPr>
                <w:rFonts w:hint="eastAsia" w:ascii="宋体" w:hAnsi="宋体"/>
                <w:b/>
                <w:color w:val="auto"/>
                <w:sz w:val="20"/>
                <w:szCs w:val="20"/>
              </w:rPr>
              <w:t>质量/</w:t>
            </w:r>
            <w:r>
              <w:rPr>
                <w:rFonts w:hint="eastAsia" w:ascii="宋体" w:hAnsi="宋体" w:cs="宋体"/>
                <w:b/>
                <w:color w:val="auto"/>
                <w:spacing w:val="-10"/>
                <w:sz w:val="20"/>
                <w:szCs w:val="20"/>
              </w:rPr>
              <w:t>█</w:t>
            </w:r>
            <w:r>
              <w:rPr>
                <w:rFonts w:hint="eastAsia" w:ascii="宋体" w:hAnsi="宋体"/>
                <w:b/>
                <w:color w:val="auto"/>
                <w:sz w:val="20"/>
                <w:szCs w:val="20"/>
              </w:rPr>
              <w:t>环境/</w:t>
            </w:r>
            <w:r>
              <w:rPr>
                <w:rFonts w:hint="eastAsia" w:ascii="宋体" w:hAnsi="宋体" w:cs="宋体"/>
                <w:b/>
                <w:color w:val="auto"/>
                <w:spacing w:val="-10"/>
                <w:sz w:val="20"/>
                <w:szCs w:val="20"/>
              </w:rPr>
              <w:t>█</w:t>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spacing w:line="480" w:lineRule="exact"/>
              <w:rPr>
                <w:rFonts w:ascii="楷体" w:hAnsi="楷体" w:eastAsia="楷体"/>
                <w:color w:val="auto"/>
                <w:sz w:val="24"/>
              </w:rPr>
            </w:pPr>
            <w:r>
              <w:rPr>
                <w:rFonts w:hint="eastAsia" w:ascii="楷体" w:hAnsi="楷体" w:eastAsia="楷体"/>
                <w:color w:val="auto"/>
                <w:sz w:val="24"/>
              </w:rPr>
              <w:t>公司的管理方针是：</w:t>
            </w:r>
          </w:p>
          <w:p>
            <w:pPr>
              <w:rPr>
                <w:rFonts w:hint="eastAsia"/>
                <w:color w:val="auto"/>
              </w:rPr>
            </w:pPr>
            <w:r>
              <w:rPr>
                <w:rFonts w:hint="eastAsia"/>
                <w:color w:val="auto"/>
              </w:rPr>
              <w:t>顾客至上、强化服务</w:t>
            </w:r>
            <w:r>
              <w:rPr>
                <w:rFonts w:hint="eastAsia"/>
                <w:color w:val="auto"/>
                <w:lang w:val="en-US" w:eastAsia="zh-CN"/>
              </w:rPr>
              <w:t xml:space="preserve">  </w:t>
            </w:r>
            <w:r>
              <w:rPr>
                <w:rFonts w:hint="eastAsia"/>
                <w:color w:val="auto"/>
              </w:rPr>
              <w:t>以人为本、顾客满意</w:t>
            </w:r>
          </w:p>
          <w:p>
            <w:pPr>
              <w:rPr>
                <w:rFonts w:hint="eastAsia"/>
                <w:color w:val="auto"/>
              </w:rPr>
            </w:pPr>
            <w:r>
              <w:rPr>
                <w:rFonts w:hint="eastAsia"/>
                <w:color w:val="auto"/>
              </w:rPr>
              <w:t>节能降耗、安全第一</w:t>
            </w:r>
            <w:r>
              <w:rPr>
                <w:rFonts w:hint="eastAsia"/>
                <w:color w:val="auto"/>
                <w:lang w:val="en-US" w:eastAsia="zh-CN"/>
              </w:rPr>
              <w:t xml:space="preserve">  </w:t>
            </w:r>
            <w:r>
              <w:rPr>
                <w:rFonts w:hint="eastAsia"/>
                <w:color w:val="auto"/>
              </w:rPr>
              <w:t>珍惜环境、和谐发展</w:t>
            </w:r>
          </w:p>
          <w:p>
            <w:pPr>
              <w:pStyle w:val="2"/>
              <w:rPr>
                <w:color w:val="auto"/>
              </w:rPr>
            </w:pPr>
            <w:r>
              <w:rPr>
                <w:rFonts w:hint="eastAsia"/>
                <w:color w:val="auto"/>
              </w:rPr>
              <w:t>通过管理手册的分发使全体员工理解方针，通过内审和管理评审保持方针的适宜性。</w:t>
            </w:r>
          </w:p>
          <w:p>
            <w:pPr>
              <w:spacing w:line="240" w:lineRule="exact"/>
              <w:ind w:left="199" w:leftChars="95"/>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风险识别与控制策划</w:t>
            </w:r>
          </w:p>
          <w:p>
            <w:pPr>
              <w:rPr>
                <w:color w:val="auto"/>
              </w:rPr>
            </w:pPr>
            <w:r>
              <w:rPr>
                <w:rFonts w:hint="eastAsia"/>
                <w:color w:val="auto"/>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auto"/>
              </w:rPr>
            </w:pPr>
            <w:r>
              <w:rPr>
                <w:rFonts w:hint="eastAsia"/>
                <w:color w:val="auto"/>
              </w:rPr>
              <w:t>提供了“20</w:t>
            </w:r>
            <w:r>
              <w:rPr>
                <w:rFonts w:hint="eastAsia"/>
                <w:color w:val="auto"/>
                <w:lang w:val="en-US" w:eastAsia="zh-CN"/>
              </w:rPr>
              <w:t>20</w:t>
            </w:r>
            <w:r>
              <w:rPr>
                <w:rFonts w:hint="eastAsia"/>
                <w:color w:val="auto"/>
              </w:rPr>
              <w:t>年度 SWOT经营环境分析及对策报告”，对影响公司经营和发展的各种因素（内外部环境、相关方要求等）进行分析，确定需要应对的风险和机遇</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质量管理体系过程有：</w:t>
            </w:r>
          </w:p>
          <w:p>
            <w:pPr>
              <w:rPr>
                <w:rFonts w:hint="eastAsia"/>
                <w:bCs/>
                <w:color w:val="auto"/>
              </w:rPr>
            </w:pPr>
            <w:r>
              <w:rPr>
                <w:rFonts w:hint="eastAsia"/>
                <w:bCs/>
                <w:color w:val="auto"/>
              </w:rPr>
              <w:t>客户开发---项目评估---合同签订---进驻项目现场---物业管理</w:t>
            </w:r>
            <w:r>
              <w:rPr>
                <w:rFonts w:hint="eastAsia" w:ascii="宋体" w:hAnsi="宋体"/>
                <w:color w:val="auto"/>
              </w:rPr>
              <w:t>（保洁服务、配电、</w:t>
            </w:r>
            <w:r>
              <w:rPr>
                <w:rFonts w:hint="eastAsia" w:ascii="宋体" w:hAnsi="宋体"/>
                <w:color w:val="auto"/>
                <w:lang w:val="en-US" w:eastAsia="zh-CN"/>
              </w:rPr>
              <w:t>物业维修</w:t>
            </w:r>
            <w:r>
              <w:rPr>
                <w:rFonts w:hint="eastAsia" w:ascii="宋体" w:hAnsi="宋体"/>
                <w:color w:val="auto"/>
              </w:rPr>
              <w:t>等）-----服务检查</w:t>
            </w:r>
            <w:r>
              <w:rPr>
                <w:rFonts w:hint="eastAsia"/>
                <w:bCs/>
                <w:color w:val="auto"/>
              </w:rPr>
              <w:t>---客户满意调查---回访</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物业管理服务过程      </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需要确认过程  物业管理服务过程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不适用条款是</w:t>
            </w:r>
            <w:r>
              <w:rPr>
                <w:rFonts w:hint="eastAsia" w:ascii="宋体" w:hAnsi="宋体"/>
                <w:b/>
                <w:color w:val="auto"/>
                <w:sz w:val="20"/>
                <w:szCs w:val="20"/>
                <w:lang w:eastAsia="zh-CN"/>
              </w:rPr>
              <w:t>：</w:t>
            </w:r>
            <w:r>
              <w:rPr>
                <w:rFonts w:hint="eastAsia" w:ascii="宋体" w:hAnsi="宋体"/>
                <w:b/>
                <w:color w:val="auto"/>
                <w:sz w:val="20"/>
                <w:szCs w:val="20"/>
              </w:rPr>
              <w:t xml:space="preserve">8.3     ，不适用理由：  </w:t>
            </w:r>
            <w:r>
              <w:rPr>
                <w:rFonts w:hint="eastAsia" w:ascii="宋体" w:hAnsi="宋体"/>
                <w:color w:val="auto"/>
                <w:sz w:val="21"/>
                <w:szCs w:val="21"/>
              </w:rPr>
              <w:t>不适用条款：8.3</w:t>
            </w:r>
            <w:r>
              <w:rPr>
                <w:rFonts w:hint="eastAsia" w:ascii="宋体" w:hAnsi="宋体"/>
                <w:color w:val="auto"/>
                <w:sz w:val="21"/>
                <w:szCs w:val="21"/>
                <w:lang w:eastAsia="zh-CN"/>
              </w:rPr>
              <w:t>，</w:t>
            </w:r>
            <w:r>
              <w:rPr>
                <w:rFonts w:hint="eastAsia" w:ascii="宋体" w:hAnsi="宋体"/>
                <w:color w:val="auto"/>
                <w:sz w:val="21"/>
                <w:szCs w:val="21"/>
                <w:lang w:val="en-US" w:eastAsia="zh-CN"/>
              </w:rPr>
              <w:t>不适用，理由：因</w:t>
            </w:r>
            <w:r>
              <w:rPr>
                <w:rFonts w:hint="eastAsia" w:ascii="宋体" w:hAnsi="宋体"/>
                <w:color w:val="auto"/>
                <w:sz w:val="21"/>
                <w:szCs w:val="21"/>
              </w:rPr>
              <w:t>物业管理</w:t>
            </w:r>
            <w:r>
              <w:rPr>
                <w:rFonts w:hint="eastAsia" w:ascii="宋体" w:hAnsi="宋体"/>
                <w:color w:val="auto"/>
                <w:sz w:val="21"/>
                <w:szCs w:val="21"/>
                <w:lang w:eastAsia="zh-CN"/>
              </w:rPr>
              <w:t>，</w:t>
            </w:r>
            <w:r>
              <w:rPr>
                <w:rFonts w:hint="eastAsia" w:ascii="宋体" w:hAnsi="宋体"/>
                <w:color w:val="auto"/>
                <w:sz w:val="21"/>
                <w:szCs w:val="21"/>
                <w:lang w:val="en-US" w:eastAsia="zh-CN"/>
              </w:rPr>
              <w:t>按照国家标准及顾客的要求进行，该条款的不适用,</w:t>
            </w:r>
            <w:r>
              <w:rPr>
                <w:rFonts w:hint="eastAsia" w:ascii="宋体" w:hAnsi="宋体"/>
                <w:color w:val="auto"/>
                <w:sz w:val="21"/>
                <w:szCs w:val="21"/>
              </w:rPr>
              <w:t xml:space="preserve">不影响组织确保其产品和服务合格的能力和责任，也不会对增强顾客满意产生影响 </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auto"/>
                <w:sz w:val="20"/>
                <w:szCs w:val="20"/>
              </w:rPr>
            </w:pPr>
          </w:p>
          <w:p>
            <w:pPr>
              <w:tabs>
                <w:tab w:val="left" w:pos="540"/>
              </w:tabs>
              <w:spacing w:line="300" w:lineRule="exact"/>
              <w:ind w:left="211" w:hanging="211" w:hangingChars="100"/>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auto"/>
                <w:kern w:val="0"/>
                <w:szCs w:val="21"/>
              </w:rPr>
              <w:t>服装机械设备及零配件的物业管理</w:t>
            </w:r>
            <w:r>
              <w:rPr>
                <w:rFonts w:hint="eastAsia"/>
                <w:color w:val="auto"/>
                <w:szCs w:val="21"/>
              </w:rPr>
              <w:t>过程，用打分法考虑了法规符合性、发生频次、影响范围等, 通过定性判断法，共识别出重大环境因素3项：固废排放、火灾，评价符合程序要求及公司的实际情况。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pacing w:val="-4"/>
                <w:szCs w:val="21"/>
              </w:rPr>
            </w:pPr>
            <w:r>
              <w:rPr>
                <w:rFonts w:hint="eastAsia"/>
                <w:b/>
                <w:color w:val="auto"/>
                <w:szCs w:val="21"/>
              </w:rPr>
              <w:t xml:space="preserve">4. </w:t>
            </w:r>
            <w:r>
              <w:rPr>
                <w:rFonts w:hint="eastAsia" w:ascii="宋体" w:hAnsi="宋体"/>
                <w:b/>
                <w:color w:val="auto"/>
                <w:spacing w:val="-4"/>
                <w:szCs w:val="21"/>
              </w:rPr>
              <w:t>法律法规及其他要求</w:t>
            </w:r>
          </w:p>
          <w:p>
            <w:pPr>
              <w:tabs>
                <w:tab w:val="left" w:pos="540"/>
              </w:tabs>
              <w:spacing w:line="300" w:lineRule="exact"/>
              <w:ind w:left="211" w:hanging="211" w:hangingChars="100"/>
              <w:rPr>
                <w:rFonts w:ascii="宋体" w:hAnsi="宋体"/>
                <w:b/>
                <w:color w:val="auto"/>
                <w:szCs w:val="21"/>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pStyle w:val="15"/>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法律法规要求及时更新了</w:t>
            </w:r>
            <w:r>
              <w:rPr>
                <w:rFonts w:hint="eastAsia" w:ascii="宋体" w:hAnsi="宋体"/>
                <w:color w:val="auto"/>
                <w:szCs w:val="21"/>
              </w:rPr>
              <w:t>每年一次</w:t>
            </w:r>
          </w:p>
          <w:p>
            <w:pPr>
              <w:tabs>
                <w:tab w:val="left" w:pos="0"/>
              </w:tabs>
              <w:spacing w:line="240" w:lineRule="exact"/>
              <w:rPr>
                <w:b/>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Cs w:val="21"/>
              </w:rPr>
            </w:pPr>
            <w:r>
              <w:rPr>
                <w:rFonts w:hint="eastAsia"/>
                <w:b/>
                <w:color w:val="auto"/>
                <w:szCs w:val="21"/>
              </w:rPr>
              <w:t xml:space="preserve">5. </w:t>
            </w:r>
            <w:r>
              <w:rPr>
                <w:rFonts w:hint="eastAsia" w:ascii="宋体" w:hAnsi="宋体"/>
                <w:b/>
                <w:color w:val="auto"/>
                <w:szCs w:val="21"/>
              </w:rPr>
              <w:t>目标、方案</w:t>
            </w:r>
          </w:p>
          <w:p>
            <w:pPr>
              <w:spacing w:line="300" w:lineRule="exact"/>
              <w:rPr>
                <w:rFonts w:ascii="宋体" w:hAnsi="宋体"/>
                <w:b/>
                <w:color w:val="auto"/>
                <w:sz w:val="20"/>
                <w:szCs w:val="20"/>
              </w:rPr>
            </w:pPr>
            <w:r>
              <w:rPr>
                <w:rFonts w:hint="eastAsia"/>
                <w:b/>
                <w:color w:val="auto"/>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pStyle w:val="2"/>
              <w:rPr>
                <w:color w:val="auto"/>
              </w:rPr>
            </w:pPr>
          </w:p>
          <w:p>
            <w:pPr>
              <w:spacing w:line="240" w:lineRule="exact"/>
              <w:ind w:firstLine="420" w:firstLineChars="200"/>
              <w:rPr>
                <w:rFonts w:ascii="宋体" w:hAnsi="宋体"/>
                <w:b/>
                <w:color w:val="auto"/>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color w:val="auto"/>
              </w:rPr>
            </w:pPr>
            <w:r>
              <w:rPr>
                <w:rFonts w:hint="eastAsia"/>
                <w:color w:val="auto"/>
              </w:rPr>
              <w:t>6. 文件与记录控制 (文审修订后文件与标准的符合程度评价、文件控制管理等)</w:t>
            </w:r>
          </w:p>
          <w:p>
            <w:pPr>
              <w:tabs>
                <w:tab w:val="left" w:pos="540"/>
              </w:tabs>
              <w:spacing w:line="240" w:lineRule="exact"/>
              <w:rPr>
                <w:color w:val="auto"/>
              </w:rPr>
            </w:pPr>
          </w:p>
          <w:p>
            <w:pPr>
              <w:pStyle w:val="2"/>
              <w:rPr>
                <w:color w:val="auto"/>
              </w:rPr>
            </w:pPr>
            <w:r>
              <w:rPr>
                <w:rFonts w:hint="eastAsia"/>
                <w:color w:val="auto"/>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auto"/>
                <w:szCs w:val="21"/>
              </w:rPr>
            </w:pPr>
            <w:r>
              <w:rPr>
                <w:b/>
                <w:color w:val="auto"/>
                <w:szCs w:val="21"/>
              </w:rPr>
              <w:br w:type="page"/>
            </w:r>
            <w:r>
              <w:rPr>
                <w:rFonts w:hint="eastAsia" w:ascii="宋体" w:hAnsi="宋体"/>
                <w:b/>
                <w:color w:val="auto"/>
                <w:szCs w:val="21"/>
              </w:rPr>
              <w:t>(二)资源评价</w:t>
            </w:r>
          </w:p>
        </w:tc>
        <w:tc>
          <w:tcPr>
            <w:tcW w:w="9198" w:type="dxa"/>
          </w:tcPr>
          <w:p>
            <w:pPr>
              <w:spacing w:line="300" w:lineRule="exact"/>
            </w:pPr>
            <w:r>
              <w:rPr>
                <w:rFonts w:hint="eastAsia"/>
              </w:rPr>
              <w:t>人力资源的简要说明.:</w:t>
            </w:r>
          </w:p>
          <w:p>
            <w:pPr>
              <w:pStyle w:val="2"/>
            </w:pPr>
          </w:p>
          <w:p>
            <w:pPr>
              <w:spacing w:line="300" w:lineRule="exact"/>
              <w:rPr>
                <w:rFonts w:hint="eastAsia"/>
              </w:rPr>
            </w:pPr>
            <w:r>
              <w:rPr>
                <w:rFonts w:hint="eastAsia"/>
              </w:rPr>
              <w:t>该公司员工共23人，管理人2人。有专业的物业管理人员，能满足物业管理要求。</w:t>
            </w:r>
          </w:p>
          <w:p>
            <w:pPr>
              <w:pStyle w:val="2"/>
              <w:rPr>
                <w:rFonts w:hint="default" w:eastAsia="宋体"/>
                <w:lang w:val="en-US" w:eastAsia="zh-CN"/>
              </w:rPr>
            </w:pPr>
            <w:r>
              <w:rPr>
                <w:rFonts w:hint="eastAsia"/>
                <w:lang w:val="en-US" w:eastAsia="zh-CN"/>
              </w:rPr>
              <w:t>抽查特种作业人员有：</w:t>
            </w:r>
          </w:p>
          <w:p>
            <w:pPr>
              <w:pStyle w:val="2"/>
              <w:rPr>
                <w:rFonts w:hint="eastAsia"/>
              </w:rPr>
            </w:pPr>
            <w:r>
              <w:rPr>
                <w:rFonts w:hint="eastAsia"/>
              </w:rPr>
              <w:t>高树茂  高压入网证  发证日期：2017.10.20</w:t>
            </w:r>
          </w:p>
          <w:p>
            <w:pPr>
              <w:pStyle w:val="2"/>
              <w:rPr>
                <w:rFonts w:hint="eastAsia"/>
              </w:rPr>
            </w:pPr>
            <w:r>
              <w:rPr>
                <w:rFonts w:hint="eastAsia"/>
              </w:rPr>
              <w:t>王德宝  高压入网证  发证日期：2017.10.20</w:t>
            </w:r>
          </w:p>
          <w:p>
            <w:pPr>
              <w:pStyle w:val="2"/>
              <w:rPr>
                <w:rFonts w:hint="eastAsia"/>
              </w:rPr>
            </w:pPr>
            <w:r>
              <w:rPr>
                <w:rFonts w:hint="eastAsia"/>
              </w:rPr>
              <w:t>王德宝  高压电工作业证  有效期：2018.1.23-2024.1.23</w:t>
            </w:r>
          </w:p>
          <w:p>
            <w:pPr>
              <w:pStyle w:val="2"/>
              <w:rPr>
                <w:rFonts w:hint="eastAsia"/>
              </w:rPr>
            </w:pPr>
            <w:r>
              <w:rPr>
                <w:rFonts w:hint="eastAsia"/>
              </w:rPr>
              <w:t>高树茂  建（构）筑物消防员 五级   发证日期：2016.12.8</w:t>
            </w:r>
          </w:p>
          <w:p>
            <w:pPr>
              <w:pStyle w:val="2"/>
              <w:rPr>
                <w:rFonts w:hint="eastAsia"/>
              </w:rPr>
            </w:pPr>
            <w:r>
              <w:rPr>
                <w:rFonts w:hint="eastAsia"/>
              </w:rPr>
              <w:t>韩越   建（构）筑物消防员 五级   发证日期：2017.3.3</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rPr>
                <w:rFonts w:hint="eastAsia" w:ascii="Arial" w:hAnsi="Arial" w:eastAsia="宋体" w:cs="Arial"/>
                <w:color w:val="auto"/>
                <w:shd w:val="clear" w:color="auto" w:fill="FFFFFF"/>
                <w:lang w:val="en-US" w:eastAsia="zh-CN"/>
              </w:rPr>
            </w:pPr>
            <w:r>
              <w:rPr>
                <w:rStyle w:val="16"/>
                <w:rFonts w:hint="eastAsia" w:ascii="Arial" w:hAnsi="Arial" w:cs="Arial"/>
                <w:color w:val="auto"/>
                <w:shd w:val="clear" w:color="auto" w:fill="FFFFFF"/>
              </w:rPr>
              <w:t>物业管理设备：拖把、抹布、扫帚、高压验电器、绝缘靴、绝缘手套、电工安全带（条）、绝缘人字梯</w:t>
            </w:r>
            <w:r>
              <w:rPr>
                <w:rStyle w:val="16"/>
                <w:rFonts w:hint="eastAsia" w:ascii="Arial" w:hAnsi="Arial" w:cs="Arial"/>
                <w:color w:val="auto"/>
                <w:shd w:val="clear" w:color="auto" w:fill="FFFFFF"/>
                <w:lang w:eastAsia="zh-CN"/>
              </w:rPr>
              <w:t>、</w:t>
            </w:r>
            <w:r>
              <w:rPr>
                <w:rStyle w:val="16"/>
                <w:rFonts w:hint="eastAsia" w:ascii="Arial" w:hAnsi="Arial" w:cs="Arial"/>
                <w:color w:val="auto"/>
                <w:shd w:val="clear" w:color="auto" w:fill="FFFFFF"/>
              </w:rPr>
              <w:t>防毒面具、绝缘高低凳、黄色安全帽</w:t>
            </w:r>
            <w:r>
              <w:rPr>
                <w:rStyle w:val="16"/>
                <w:rFonts w:hint="eastAsia" w:ascii="Arial" w:hAnsi="Arial" w:cs="Arial"/>
                <w:color w:val="auto"/>
                <w:shd w:val="clear" w:color="auto" w:fill="FFFFFF"/>
                <w:lang w:eastAsia="zh-CN"/>
              </w:rPr>
              <w:t>、</w:t>
            </w:r>
            <w:r>
              <w:rPr>
                <w:rStyle w:val="16"/>
                <w:rFonts w:hint="eastAsia" w:ascii="Arial" w:hAnsi="Arial" w:cs="Arial"/>
                <w:color w:val="auto"/>
                <w:shd w:val="clear" w:color="auto" w:fill="FFFFFF"/>
              </w:rPr>
              <w:t>安全警示带、低压验电笔</w:t>
            </w:r>
            <w:r>
              <w:rPr>
                <w:rStyle w:val="16"/>
                <w:rFonts w:hint="eastAsia" w:ascii="Arial" w:hAnsi="Arial" w:cs="Arial"/>
                <w:color w:val="auto"/>
                <w:shd w:val="clear" w:color="auto" w:fill="FFFFFF"/>
                <w:lang w:eastAsia="zh-CN"/>
              </w:rPr>
              <w:t>、</w:t>
            </w:r>
            <w:r>
              <w:rPr>
                <w:rStyle w:val="16"/>
                <w:rFonts w:hint="eastAsia" w:ascii="Arial" w:hAnsi="Arial" w:cs="Arial"/>
                <w:color w:val="auto"/>
                <w:shd w:val="clear" w:color="auto" w:fill="FFFFFF"/>
              </w:rPr>
              <w:t>活动扳手、电工工具</w:t>
            </w:r>
            <w:r>
              <w:rPr>
                <w:rStyle w:val="16"/>
                <w:rFonts w:hint="eastAsia" w:ascii="Arial" w:hAnsi="Arial" w:cs="Arial"/>
                <w:color w:val="auto"/>
                <w:shd w:val="clear" w:color="auto" w:fill="FFFFFF"/>
                <w:lang w:val="en-US" w:eastAsia="zh-CN"/>
              </w:rPr>
              <w:t>等</w:t>
            </w:r>
          </w:p>
          <w:p>
            <w:pPr>
              <w:rPr>
                <w:rStyle w:val="16"/>
                <w:rFonts w:ascii="Arial" w:hAnsi="Arial" w:cs="Arial"/>
                <w:color w:val="auto"/>
                <w:shd w:val="clear" w:color="auto" w:fill="FFFFFF"/>
              </w:rPr>
            </w:pPr>
            <w:r>
              <w:rPr>
                <w:rStyle w:val="16"/>
                <w:rFonts w:hint="eastAsia" w:ascii="Arial" w:hAnsi="Arial" w:cs="Arial"/>
                <w:color w:val="auto"/>
                <w:shd w:val="clear" w:color="auto" w:fill="FFFFFF"/>
              </w:rPr>
              <w:t>办公设备：电脑、电话、打印机等</w:t>
            </w:r>
          </w:p>
          <w:p>
            <w:pPr>
              <w:pStyle w:val="2"/>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环保设备：垃圾桶、灭火器</w:t>
            </w:r>
          </w:p>
          <w:p>
            <w:pPr>
              <w:pStyle w:val="2"/>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消防设施：消防栓、灭火器、应急灯等</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rPr>
                <w:color w:val="auto"/>
              </w:rPr>
            </w:pPr>
            <w:r>
              <w:rPr>
                <w:rFonts w:hint="eastAsia"/>
                <w:color w:val="auto"/>
              </w:rPr>
              <w:t>现场观察办公区域环境卫生管理，工作场所布局合理，温湿度适宜，照明良好，满足办公需求。</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spacing w:line="240" w:lineRule="exact"/>
              <w:rPr>
                <w:rFonts w:ascii="宋体" w:hAnsi="宋体"/>
                <w:b/>
                <w:color w:val="auto"/>
                <w:sz w:val="20"/>
                <w:szCs w:val="20"/>
              </w:rPr>
            </w:pPr>
            <w:r>
              <w:rPr>
                <w:rFonts w:hint="eastAsia"/>
                <w:color w:val="auto"/>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color w:val="auto"/>
                <w:sz w:val="20"/>
                <w:szCs w:val="20"/>
              </w:rPr>
            </w:pPr>
            <w:r>
              <w:rPr>
                <w:rFonts w:hint="eastAsia"/>
                <w:color w:val="auto"/>
              </w:rPr>
              <w:t>配备有消防栓、灭火器等环保设施。</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b/>
                <w:bCs/>
                <w:color w:val="auto"/>
              </w:rPr>
            </w:pPr>
            <w:r>
              <w:rPr>
                <w:rFonts w:hint="eastAsia"/>
                <w:b/>
                <w:bCs/>
                <w:color w:val="auto"/>
              </w:rPr>
              <w:t>职业健康安全设施：</w:t>
            </w:r>
          </w:p>
          <w:p>
            <w:pPr>
              <w:spacing w:line="240" w:lineRule="exact"/>
              <w:rPr>
                <w:color w:val="auto"/>
              </w:rPr>
            </w:pPr>
            <w:r>
              <w:rPr>
                <w:rFonts w:hint="eastAsia"/>
                <w:color w:val="auto"/>
              </w:rPr>
              <w:t>配备有灭火器等环保设施。</w:t>
            </w:r>
          </w:p>
          <w:p>
            <w:pPr>
              <w:pStyle w:val="2"/>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auto"/>
                <w:sz w:val="20"/>
                <w:szCs w:val="20"/>
              </w:rPr>
            </w:pPr>
            <w:r>
              <w:rPr>
                <w:rFonts w:hint="eastAsia"/>
                <w:b/>
                <w:color w:val="auto"/>
                <w:sz w:val="20"/>
                <w:szCs w:val="20"/>
              </w:rPr>
              <w:t>(三)体系运行情况</w:t>
            </w:r>
          </w:p>
        </w:tc>
        <w:tc>
          <w:tcPr>
            <w:tcW w:w="9198" w:type="dxa"/>
          </w:tcPr>
          <w:p>
            <w:pPr>
              <w:spacing w:line="300" w:lineRule="exact"/>
              <w:rPr>
                <w:b/>
                <w:bCs/>
                <w:color w:val="auto"/>
              </w:rPr>
            </w:pPr>
            <w:r>
              <w:rPr>
                <w:rFonts w:hint="eastAsia"/>
                <w:b/>
                <w:bCs/>
                <w:color w:val="auto"/>
              </w:rPr>
              <w:t>1. 针对方针的管理职责评审</w:t>
            </w:r>
          </w:p>
          <w:p>
            <w:pPr>
              <w:spacing w:line="300" w:lineRule="exact"/>
              <w:ind w:left="1"/>
              <w:rPr>
                <w:b/>
                <w:bCs/>
                <w:color w:val="auto"/>
              </w:rPr>
            </w:pPr>
            <w:r>
              <w:rPr>
                <w:rFonts w:hint="eastAsia"/>
                <w:b/>
                <w:bCs/>
                <w:color w:val="auto"/>
              </w:rPr>
              <w:t>（包括针对组织宗旨，制定相关管理方针政策、确保方针为员工理解并在运营中实施，监视方针的实施并评审方针的适宜性）</w:t>
            </w:r>
          </w:p>
          <w:p>
            <w:pPr>
              <w:pStyle w:val="2"/>
              <w:rPr>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pStyle w:val="2"/>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159" w:hanging="159" w:hangingChars="79"/>
              <w:rPr>
                <w:b/>
                <w:color w:val="auto"/>
                <w:sz w:val="20"/>
                <w:szCs w:val="20"/>
              </w:rPr>
            </w:pPr>
            <w:r>
              <w:rPr>
                <w:rFonts w:hint="eastAsia"/>
                <w:b/>
                <w:color w:val="auto"/>
                <w:sz w:val="20"/>
                <w:szCs w:val="20"/>
              </w:rPr>
              <w:t>2.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spacing w:line="240" w:lineRule="exact"/>
              <w:rPr>
                <w:rFonts w:ascii="楷体_GB2312" w:eastAsia="楷体_GB2312"/>
                <w:b/>
                <w:color w:val="auto"/>
                <w:sz w:val="20"/>
                <w:szCs w:val="20"/>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rPr>
                <w:color w:val="auto"/>
              </w:rPr>
            </w:pPr>
            <w:r>
              <w:rPr>
                <w:rFonts w:hint="eastAsia"/>
                <w:color w:val="auto"/>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00" w:lineRule="exact"/>
              <w:rPr>
                <w:b/>
                <w:color w:val="auto"/>
                <w:sz w:val="20"/>
                <w:szCs w:val="20"/>
              </w:rPr>
            </w:pPr>
          </w:p>
          <w:p>
            <w:pPr>
              <w:spacing w:line="300" w:lineRule="exact"/>
              <w:rPr>
                <w:b/>
                <w:color w:val="auto"/>
                <w:sz w:val="20"/>
                <w:szCs w:val="20"/>
              </w:rPr>
            </w:pPr>
          </w:p>
          <w:p>
            <w:pPr>
              <w:spacing w:line="240" w:lineRule="exact"/>
              <w:rPr>
                <w:bCs/>
                <w:color w:val="auto"/>
                <w:szCs w:val="21"/>
              </w:rPr>
            </w:pPr>
            <w:r>
              <w:rPr>
                <w:rFonts w:hint="eastAsia"/>
                <w:bCs/>
                <w:color w:val="auto"/>
                <w:szCs w:val="21"/>
              </w:rPr>
              <w:t>按照顾客和合同要求进行服务，能够稳定的向顾客提供合格的物业管理产品及服务。</w:t>
            </w: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240" w:lineRule="exact"/>
              <w:ind w:firstLine="201" w:firstLineChars="100"/>
              <w:rPr>
                <w:b/>
                <w:color w:val="auto"/>
                <w:sz w:val="20"/>
                <w:szCs w:val="20"/>
              </w:rPr>
            </w:pPr>
            <w:r>
              <w:rPr>
                <w:rFonts w:hint="eastAsia"/>
                <w:b/>
                <w:color w:val="auto"/>
                <w:sz w:val="20"/>
                <w:szCs w:val="20"/>
              </w:rPr>
              <w:t xml:space="preserve"> </w:t>
            </w:r>
          </w:p>
          <w:p>
            <w:pPr>
              <w:spacing w:line="240" w:lineRule="exact"/>
              <w:rPr>
                <w:b/>
                <w:color w:val="auto"/>
                <w:sz w:val="20"/>
                <w:szCs w:val="20"/>
              </w:rPr>
            </w:pPr>
            <w:r>
              <w:rPr>
                <w:rFonts w:hint="eastAsia"/>
                <w:b/>
                <w:color w:val="auto"/>
                <w:sz w:val="20"/>
                <w:szCs w:val="20"/>
              </w:rPr>
              <w:t>无</w:t>
            </w: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color w:val="auto"/>
              </w:rPr>
            </w:pPr>
            <w:r>
              <w:rPr>
                <w:rFonts w:hint="eastAsia"/>
                <w:color w:val="auto"/>
              </w:rPr>
              <w:t>6. 不合格品/项的识别、控制;</w:t>
            </w:r>
          </w:p>
          <w:p>
            <w:pPr>
              <w:spacing w:line="240" w:lineRule="exact"/>
              <w:rPr>
                <w:color w:val="auto"/>
              </w:rPr>
            </w:pPr>
          </w:p>
          <w:p>
            <w:pPr>
              <w:pStyle w:val="2"/>
              <w:rPr>
                <w:color w:val="auto"/>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201" w:hanging="201" w:hangingChars="100"/>
              <w:rPr>
                <w:b/>
                <w:color w:val="auto"/>
                <w:sz w:val="20"/>
                <w:szCs w:val="20"/>
              </w:rPr>
            </w:pPr>
            <w:r>
              <w:rPr>
                <w:rFonts w:hint="eastAsia"/>
                <w:b/>
                <w:color w:val="auto"/>
                <w:sz w:val="20"/>
                <w:szCs w:val="20"/>
              </w:rPr>
              <w:t xml:space="preserve">9. 应急准备与相应活动的演练及对预案可行性的评价(当有规定时) </w:t>
            </w:r>
          </w:p>
          <w:p>
            <w:pPr>
              <w:spacing w:line="240" w:lineRule="exact"/>
              <w:rPr>
                <w:b/>
                <w:color w:val="auto"/>
                <w:spacing w:val="-4"/>
                <w:sz w:val="20"/>
                <w:szCs w:val="20"/>
              </w:rPr>
            </w:pPr>
          </w:p>
          <w:p>
            <w:pPr>
              <w:spacing w:line="240" w:lineRule="exact"/>
              <w:rPr>
                <w:b/>
                <w:color w:val="auto"/>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10. 对特种设备的维护; （适用时）</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bCs/>
                <w:color w:val="auto"/>
              </w:rPr>
            </w:pPr>
            <w:r>
              <w:rPr>
                <w:rFonts w:hint="eastAsia"/>
                <w:b/>
                <w:bCs/>
                <w:color w:val="auto"/>
              </w:rPr>
              <w:t>11 .对危险化学品物业管理、使用、储存、运输处置，规定的执行力度(必要时); （适用时）</w:t>
            </w:r>
          </w:p>
          <w:p>
            <w:pPr>
              <w:pStyle w:val="2"/>
              <w:rPr>
                <w:b/>
                <w:color w:val="auto"/>
                <w:sz w:val="20"/>
                <w:szCs w:val="20"/>
              </w:rPr>
            </w:pPr>
          </w:p>
          <w:p>
            <w:pPr>
              <w:pStyle w:val="2"/>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hint="eastAsia"/>
                <w:b/>
                <w:color w:val="auto"/>
                <w:szCs w:val="21"/>
              </w:rPr>
              <w:t>(四)监视测量方面</w:t>
            </w:r>
          </w:p>
        </w:tc>
        <w:tc>
          <w:tcPr>
            <w:tcW w:w="9198" w:type="dxa"/>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auto"/>
                <w:sz w:val="20"/>
                <w:szCs w:val="20"/>
              </w:rPr>
            </w:pPr>
            <w:r>
              <w:rPr>
                <w:rFonts w:hint="eastAsia" w:ascii="宋体" w:hAnsi="宋体" w:cs="宋体"/>
                <w:color w:val="000000" w:themeColor="text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2020年12</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5" w:leftChars="0" w:hanging="105" w:hangingChars="50"/>
              <w:rPr>
                <w:rFonts w:hint="eastAsia"/>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rPr>
              <w:t>8</w:t>
            </w:r>
            <w:r>
              <w:rPr>
                <w:rFonts w:hint="eastAsia"/>
                <w:color w:val="000000" w:themeColor="text1"/>
              </w:rPr>
              <w:t>分，总体实现了顾客满意度的质量目标要求。</w:t>
            </w:r>
          </w:p>
          <w:p>
            <w:pPr>
              <w:spacing w:line="240" w:lineRule="exact"/>
              <w:ind w:left="105" w:hanging="100" w:hangingChars="50"/>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b/>
                <w:color w:val="auto"/>
                <w:sz w:val="20"/>
                <w:szCs w:val="20"/>
              </w:rPr>
            </w:pPr>
            <w:r>
              <w:rPr>
                <w:rFonts w:hint="eastAsia" w:ascii="宋体" w:hAnsi="宋体"/>
                <w:color w:val="000000" w:themeColor="text1"/>
                <w:szCs w:val="21"/>
              </w:rPr>
              <w:t>建立有《内部审核控制程序》，规定了内审频次一年一次，内审时间：</w:t>
            </w:r>
            <w:r>
              <w:rPr>
                <w:rFonts w:hint="eastAsia"/>
              </w:rPr>
              <w:t>2020年11月20日</w:t>
            </w:r>
            <w:r>
              <w:rPr>
                <w:rFonts w:hint="eastAsia" w:ascii="宋体" w:hAnsi="宋体" w:eastAsia="宋体" w:cs="宋体"/>
                <w:color w:val="000000" w:themeColor="text1"/>
                <w:szCs w:val="21"/>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spacing w:line="240" w:lineRule="exact"/>
              <w:rPr>
                <w:b/>
                <w:color w:val="auto"/>
                <w:sz w:val="20"/>
                <w:szCs w:val="20"/>
              </w:rPr>
            </w:pPr>
            <w:r>
              <w:rPr>
                <w:rFonts w:hint="eastAsia" w:ascii="宋体" w:hAnsi="宋体" w:cs="宋体"/>
                <w:color w:val="000000" w:themeColor="text1"/>
                <w:szCs w:val="21"/>
              </w:rPr>
              <w:t>管理评审频次为一年一次、本次管理评审于</w:t>
            </w:r>
            <w:r>
              <w:rPr>
                <w:rFonts w:hint="default"/>
                <w:lang w:val="en-US" w:eastAsia="zh-CN"/>
              </w:rPr>
              <w:t>2020年</w:t>
            </w:r>
            <w:r>
              <w:rPr>
                <w:rFonts w:hint="eastAsia"/>
                <w:lang w:val="en-US" w:eastAsia="zh-CN"/>
              </w:rPr>
              <w:t>11</w:t>
            </w:r>
            <w:r>
              <w:rPr>
                <w:rFonts w:hint="default"/>
                <w:lang w:val="en-US" w:eastAsia="zh-CN"/>
              </w:rPr>
              <w:t>月</w:t>
            </w:r>
            <w:r>
              <w:rPr>
                <w:rFonts w:hint="eastAsia"/>
                <w:lang w:val="en-US" w:eastAsia="zh-CN"/>
              </w:rPr>
              <w:t>28</w:t>
            </w:r>
            <w:r>
              <w:rPr>
                <w:rFonts w:hint="default"/>
                <w:lang w:val="en-US" w:eastAsia="zh-CN"/>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5.  EMS是否按规定对主要污染物（污水、废气、噪声、废渣等）及排放实施了例行的监视或测量，结果是否满足相关要求？</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 xml:space="preserve">国家/地方环保部门监测结果、新改扩建项目符合环评报告、三同时验收报告要求情况及措施 </w:t>
            </w: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z w:val="20"/>
                <w:szCs w:val="20"/>
              </w:rPr>
            </w:pPr>
            <w:r>
              <w:rPr>
                <w:rFonts w:hint="eastAsia"/>
                <w:b/>
                <w:color w:val="auto"/>
                <w:sz w:val="20"/>
                <w:szCs w:val="20"/>
              </w:rPr>
              <w:t>7. OHSMS是否按规定对职业健康安全项目进行定期测量，结果是否满足相关要求：</w:t>
            </w:r>
          </w:p>
          <w:p>
            <w:pPr>
              <w:spacing w:line="30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auto"/>
                <w:sz w:val="20"/>
              </w:rPr>
            </w:pPr>
          </w:p>
        </w:tc>
        <w:tc>
          <w:tcPr>
            <w:tcW w:w="9198"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spacing w:line="240" w:lineRule="exact"/>
              <w:rPr>
                <w:b/>
                <w:color w:val="auto"/>
                <w:sz w:val="20"/>
                <w:szCs w:val="20"/>
              </w:rPr>
            </w:pPr>
          </w:p>
          <w:p>
            <w:pPr>
              <w:spacing w:line="240" w:lineRule="exact"/>
              <w:ind w:firstLine="420" w:firstLineChars="200"/>
              <w:rPr>
                <w:rFonts w:hint="eastAsia"/>
                <w:color w:val="000000" w:themeColor="text1"/>
              </w:rPr>
            </w:pPr>
            <w:r>
              <w:rPr>
                <w:rFonts w:hint="eastAsia"/>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rPr>
                <w:b/>
                <w:color w:val="auto"/>
                <w:spacing w:val="-20"/>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p>
          <w:p>
            <w:pPr>
              <w:spacing w:line="240" w:lineRule="exact"/>
              <w:rPr>
                <w:b/>
                <w:color w:val="auto"/>
                <w:spacing w:val="-20"/>
                <w:sz w:val="20"/>
                <w:szCs w:val="20"/>
              </w:rPr>
            </w:pPr>
            <w:r>
              <w:rPr>
                <w:rFonts w:hint="eastAsia"/>
                <w:b/>
                <w:color w:val="auto"/>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Cs w:val="21"/>
              </w:rPr>
            </w:pPr>
            <w:r>
              <w:rPr>
                <w:rFonts w:hint="eastAsia"/>
                <w:b/>
                <w:color w:val="auto"/>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rFonts w:hint="eastAsia"/>
              </w:rPr>
              <w:t>天津市福德缘物业有限公司</w:t>
            </w:r>
            <w:r>
              <w:rPr>
                <w:rFonts w:hint="eastAsia"/>
                <w:color w:val="000000" w:themeColor="text1"/>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pStyle w:val="2"/>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numPr>
          <w:ilvl w:val="0"/>
          <w:numId w:val="0"/>
        </w:numPr>
        <w:ind w:firstLine="460" w:firstLineChars="200"/>
        <w:rPr>
          <w:rFonts w:hint="default" w:eastAsia="宋体"/>
          <w:lang w:val="en-US" w:eastAsia="zh-CN"/>
        </w:rPr>
      </w:pPr>
      <w:r>
        <w:rPr>
          <w:rFonts w:hint="eastAsia"/>
          <w:lang w:val="en-US" w:eastAsia="zh-CN"/>
        </w:rPr>
        <w:t>因目前新冠疫情影响，本次审核为远程审核，本次审核开具的不符合项，在远程验证后进行了关闭，根据公司的安排，待疫情结束后，安排现场审核，对本次远程审核的验证审核。</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691515" cy="43624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91515" cy="436245"/>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2381250" cy="6540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381250" cy="65405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bookmarkStart w:id="5" w:name="_GoBack"/>
      <w:bookmarkEnd w:id="5"/>
      <w:r>
        <w:rPr>
          <w:rFonts w:hint="eastAsia" w:ascii="宋体" w:hAnsi="宋体"/>
          <w:b/>
          <w:color w:val="000000" w:themeColor="text1"/>
          <w:spacing w:val="-10"/>
          <w:szCs w:val="21"/>
        </w:rPr>
        <w:sym w:font="Wingdings" w:char="00A8"/>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r>
        <w:drawing>
          <wp:inline distT="0" distB="0" distL="114300" distR="114300">
            <wp:extent cx="691515" cy="436245"/>
            <wp:effectExtent l="0" t="0" r="698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91515" cy="436245"/>
                    </a:xfrm>
                    <a:prstGeom prst="rect">
                      <a:avLst/>
                    </a:prstGeom>
                    <a:noFill/>
                    <a:ln>
                      <a:noFill/>
                    </a:ln>
                  </pic:spPr>
                </pic:pic>
              </a:graphicData>
            </a:graphic>
          </wp:inline>
        </w:drawing>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20</w:t>
      </w:r>
      <w:r>
        <w:rPr>
          <w:rFonts w:hint="eastAsia"/>
          <w:b/>
          <w:color w:val="000000" w:themeColor="text1"/>
          <w:szCs w:val="21"/>
          <w:lang w:val="en-US" w:eastAsia="zh-CN"/>
        </w:rPr>
        <w:t>21</w:t>
      </w:r>
      <w:r>
        <w:rPr>
          <w:rFonts w:hint="eastAsia"/>
          <w:b/>
          <w:color w:val="000000" w:themeColor="text1"/>
          <w:szCs w:val="21"/>
        </w:rPr>
        <w:t xml:space="preserve">  年 </w:t>
      </w:r>
      <w:r>
        <w:rPr>
          <w:rFonts w:hint="eastAsia"/>
          <w:b/>
          <w:color w:val="000000" w:themeColor="text1"/>
          <w:szCs w:val="21"/>
          <w:lang w:val="en-US" w:eastAsia="zh-CN"/>
        </w:rPr>
        <w:t>2</w:t>
      </w:r>
      <w:r>
        <w:rPr>
          <w:rFonts w:hint="eastAsia"/>
          <w:b/>
          <w:color w:val="000000" w:themeColor="text1"/>
          <w:szCs w:val="21"/>
        </w:rPr>
        <w:t xml:space="preserve"> 月 </w:t>
      </w:r>
      <w:r>
        <w:rPr>
          <w:rFonts w:hint="eastAsia"/>
          <w:b/>
          <w:color w:val="000000" w:themeColor="text1"/>
          <w:szCs w:val="21"/>
          <w:lang w:val="en-US" w:eastAsia="zh-CN"/>
        </w:rPr>
        <w:t>7</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9D611"/>
    <w:multiLevelType w:val="singleLevel"/>
    <w:tmpl w:val="D189D611"/>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4E11A4F"/>
    <w:rsid w:val="16060719"/>
    <w:rsid w:val="1C440198"/>
    <w:rsid w:val="21611269"/>
    <w:rsid w:val="21A15F24"/>
    <w:rsid w:val="342B751F"/>
    <w:rsid w:val="3C6210A8"/>
    <w:rsid w:val="4B4A3A22"/>
    <w:rsid w:val="5CDD1C2D"/>
    <w:rsid w:val="708949A1"/>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4</TotalTime>
  <ScaleCrop>false</ScaleCrop>
  <LinksUpToDate>false</LinksUpToDate>
  <CharactersWithSpaces>9064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2021-02-09T14:50:30Z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