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kern w:val="0"/>
          <w:sz w:val="32"/>
          <w:szCs w:val="32"/>
        </w:rPr>
        <w:t>标牌表面层</w:t>
      </w: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测量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2"/>
          <w:szCs w:val="32"/>
        </w:rPr>
        <w:t>过程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不确定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1.1、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测量方法：</w:t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GB／T 13912-2002《金属覆盖层 钢铁制品热镀锌层 技术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条件》</w:t>
      </w:r>
      <w:r>
        <w:rPr>
          <w:rFonts w:hint="default"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及仪器使用说明书和相关操作规范。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　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温。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涂层测厚仪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测量范围为（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0-1000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μm，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=0.7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μm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=2。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标牌表面层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</w:rPr>
        <w:t>(45-65)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μm</w:t>
      </w:r>
      <w:r>
        <w:rPr>
          <w:rFonts w:hint="default" w:ascii="Times New Roman" w:hAnsi="Times New Roman" w:eastAsia="宋体" w:cs="Times New Roman"/>
          <w:snapToGrid w:val="0"/>
          <w:color w:val="auto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将被测试件稳固放置在工作台上，依据GB／T13912-2002《金属覆盖层 钢铁制品热镀锌层 技术条件》，逐步测量并记录，计算平均值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---标牌表面层厚度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L----标牌表面层厚度读数值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numPr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输入量测量重复性不确定度的来源主要是测量重复性引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的标准不确定度。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涂层测厚仪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只涂层测厚仪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，在相临近的时间内，对被测试件连续测量10次，得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00"/>
        <w:gridCol w:w="820"/>
        <w:gridCol w:w="780"/>
        <w:gridCol w:w="850"/>
        <w:gridCol w:w="804"/>
        <w:gridCol w:w="680"/>
        <w:gridCol w:w="754"/>
        <w:gridCol w:w="714"/>
        <w:gridCol w:w="71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L读数值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(μm)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.1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.1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6"/>
          <w:sz w:val="24"/>
          <w:szCs w:val="24"/>
        </w:rPr>
        <w:object>
          <v:shape id="_x0000_i1025" o:spt="75" alt="" type="#_x0000_t75" style="height:37.45pt;width:12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6" o:spt="75" alt="" type="#_x0000_t75" style="height:44pt;width:173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0.08μm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涂层测厚仪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证书出具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=0.7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μm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则由设备示值误差引入的不确定分量为：</w:t>
      </w:r>
    </w:p>
    <w:p>
      <w:pPr>
        <w:spacing w:line="360" w:lineRule="auto"/>
        <w:ind w:left="-142" w:firstLine="2980" w:firstLineChars="1242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27" o:spt="75" alt="" type="#_x0000_t75" style="height:33.95pt;width:14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0.35μm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0.08μm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4"/>
          <w:sz w:val="24"/>
          <w:szCs w:val="24"/>
          <w:vertAlign w:val="subscript"/>
        </w:rPr>
        <w:object>
          <v:shape id="_x0000_i1028" o:spt="75" alt="" type="#_x0000_t75" style="height:25.3pt;width:224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0.36μm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0.72μm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0.72μm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>k = 2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83D6A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93CCD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1053473"/>
    <w:rsid w:val="02115640"/>
    <w:rsid w:val="02671BF7"/>
    <w:rsid w:val="03104F72"/>
    <w:rsid w:val="0316364E"/>
    <w:rsid w:val="03317A9C"/>
    <w:rsid w:val="03E902FD"/>
    <w:rsid w:val="040850C3"/>
    <w:rsid w:val="04200F42"/>
    <w:rsid w:val="044770B2"/>
    <w:rsid w:val="04523DB8"/>
    <w:rsid w:val="04F5786C"/>
    <w:rsid w:val="05C570E8"/>
    <w:rsid w:val="07F3591A"/>
    <w:rsid w:val="08FD4E29"/>
    <w:rsid w:val="0A343286"/>
    <w:rsid w:val="0B233494"/>
    <w:rsid w:val="0C780E80"/>
    <w:rsid w:val="0CAF6225"/>
    <w:rsid w:val="0CD029DA"/>
    <w:rsid w:val="0CDC1E1E"/>
    <w:rsid w:val="0CF162C5"/>
    <w:rsid w:val="0D2A57EB"/>
    <w:rsid w:val="0D3120CE"/>
    <w:rsid w:val="0D946657"/>
    <w:rsid w:val="0DA62378"/>
    <w:rsid w:val="0E77316D"/>
    <w:rsid w:val="0F2F220B"/>
    <w:rsid w:val="0F6F6C10"/>
    <w:rsid w:val="0F9E2ADD"/>
    <w:rsid w:val="103546B6"/>
    <w:rsid w:val="106F3DD8"/>
    <w:rsid w:val="10B44090"/>
    <w:rsid w:val="11756DF2"/>
    <w:rsid w:val="12145E6A"/>
    <w:rsid w:val="122732F7"/>
    <w:rsid w:val="129E55DA"/>
    <w:rsid w:val="12AD7BDB"/>
    <w:rsid w:val="132C5D59"/>
    <w:rsid w:val="15CD7DCC"/>
    <w:rsid w:val="168E01AB"/>
    <w:rsid w:val="17111B0C"/>
    <w:rsid w:val="17702E31"/>
    <w:rsid w:val="1853100C"/>
    <w:rsid w:val="185D1269"/>
    <w:rsid w:val="18791403"/>
    <w:rsid w:val="18BF64C0"/>
    <w:rsid w:val="18CC1156"/>
    <w:rsid w:val="197605FA"/>
    <w:rsid w:val="19BE7A68"/>
    <w:rsid w:val="1A4B39BB"/>
    <w:rsid w:val="1A653E1C"/>
    <w:rsid w:val="1B9D388C"/>
    <w:rsid w:val="1EA1737C"/>
    <w:rsid w:val="1EB56195"/>
    <w:rsid w:val="1ECB205F"/>
    <w:rsid w:val="1F4C4200"/>
    <w:rsid w:val="20A529D7"/>
    <w:rsid w:val="20C10F15"/>
    <w:rsid w:val="20DD2CFD"/>
    <w:rsid w:val="21D66286"/>
    <w:rsid w:val="21EF0DC2"/>
    <w:rsid w:val="22610C1B"/>
    <w:rsid w:val="227C4A76"/>
    <w:rsid w:val="234C6925"/>
    <w:rsid w:val="23D80F9B"/>
    <w:rsid w:val="243056A1"/>
    <w:rsid w:val="25312398"/>
    <w:rsid w:val="25BD5B23"/>
    <w:rsid w:val="25F34BD3"/>
    <w:rsid w:val="2619562B"/>
    <w:rsid w:val="26DE416C"/>
    <w:rsid w:val="26E46B67"/>
    <w:rsid w:val="27390113"/>
    <w:rsid w:val="27BE054C"/>
    <w:rsid w:val="281276AA"/>
    <w:rsid w:val="28657BFA"/>
    <w:rsid w:val="28AB5996"/>
    <w:rsid w:val="29454B9B"/>
    <w:rsid w:val="2A525CA9"/>
    <w:rsid w:val="2AB8578C"/>
    <w:rsid w:val="2B226431"/>
    <w:rsid w:val="2B262629"/>
    <w:rsid w:val="2B4B4BD4"/>
    <w:rsid w:val="2B751D34"/>
    <w:rsid w:val="2C28712E"/>
    <w:rsid w:val="2C620D55"/>
    <w:rsid w:val="2DA61C57"/>
    <w:rsid w:val="2E736B0E"/>
    <w:rsid w:val="2EB97DED"/>
    <w:rsid w:val="2ECF1DA3"/>
    <w:rsid w:val="2EE35B7F"/>
    <w:rsid w:val="2F160B64"/>
    <w:rsid w:val="2F591F99"/>
    <w:rsid w:val="2FAC229C"/>
    <w:rsid w:val="2FE72CCC"/>
    <w:rsid w:val="309325DA"/>
    <w:rsid w:val="30C04425"/>
    <w:rsid w:val="30C773C3"/>
    <w:rsid w:val="30DA40DB"/>
    <w:rsid w:val="32460970"/>
    <w:rsid w:val="34325904"/>
    <w:rsid w:val="344B208B"/>
    <w:rsid w:val="34DB14BC"/>
    <w:rsid w:val="351957ED"/>
    <w:rsid w:val="35946A3D"/>
    <w:rsid w:val="35AE7103"/>
    <w:rsid w:val="35B56883"/>
    <w:rsid w:val="35C20FA3"/>
    <w:rsid w:val="360719D2"/>
    <w:rsid w:val="37047311"/>
    <w:rsid w:val="373A5911"/>
    <w:rsid w:val="37B6656A"/>
    <w:rsid w:val="384C52B2"/>
    <w:rsid w:val="386D3BC3"/>
    <w:rsid w:val="389C0EE1"/>
    <w:rsid w:val="38B22018"/>
    <w:rsid w:val="397D5A4F"/>
    <w:rsid w:val="39A35F89"/>
    <w:rsid w:val="39A438DC"/>
    <w:rsid w:val="3A5F7CB0"/>
    <w:rsid w:val="3B1C2FCD"/>
    <w:rsid w:val="3B3B6DF8"/>
    <w:rsid w:val="3BCF58EA"/>
    <w:rsid w:val="3CB83D07"/>
    <w:rsid w:val="3CFF0C08"/>
    <w:rsid w:val="3D12087F"/>
    <w:rsid w:val="3D216E0C"/>
    <w:rsid w:val="3DEC22DB"/>
    <w:rsid w:val="3E19630B"/>
    <w:rsid w:val="3EEE7312"/>
    <w:rsid w:val="3F110443"/>
    <w:rsid w:val="3F3E498D"/>
    <w:rsid w:val="3F764E59"/>
    <w:rsid w:val="3F7D1816"/>
    <w:rsid w:val="40197D69"/>
    <w:rsid w:val="4022604A"/>
    <w:rsid w:val="40550B06"/>
    <w:rsid w:val="40773E38"/>
    <w:rsid w:val="41465C91"/>
    <w:rsid w:val="41473558"/>
    <w:rsid w:val="42732272"/>
    <w:rsid w:val="4480066D"/>
    <w:rsid w:val="454C4A39"/>
    <w:rsid w:val="45614AB1"/>
    <w:rsid w:val="463069A0"/>
    <w:rsid w:val="46EF1A47"/>
    <w:rsid w:val="47914BF4"/>
    <w:rsid w:val="47C376E7"/>
    <w:rsid w:val="48646DEF"/>
    <w:rsid w:val="490E5D78"/>
    <w:rsid w:val="49980D2B"/>
    <w:rsid w:val="4A02072C"/>
    <w:rsid w:val="4A3E282A"/>
    <w:rsid w:val="4A507D48"/>
    <w:rsid w:val="4A546E21"/>
    <w:rsid w:val="4A8C1680"/>
    <w:rsid w:val="4B5243E7"/>
    <w:rsid w:val="4B8378D3"/>
    <w:rsid w:val="4BAF2EF0"/>
    <w:rsid w:val="4D63663A"/>
    <w:rsid w:val="4D723028"/>
    <w:rsid w:val="4DA01325"/>
    <w:rsid w:val="4E2843F9"/>
    <w:rsid w:val="4EA6042C"/>
    <w:rsid w:val="4F200D1B"/>
    <w:rsid w:val="4F745F83"/>
    <w:rsid w:val="5003516E"/>
    <w:rsid w:val="506F12F9"/>
    <w:rsid w:val="507E2ADE"/>
    <w:rsid w:val="517D5F39"/>
    <w:rsid w:val="51917536"/>
    <w:rsid w:val="520E18AC"/>
    <w:rsid w:val="52136D0A"/>
    <w:rsid w:val="52181816"/>
    <w:rsid w:val="522257F6"/>
    <w:rsid w:val="52272B3C"/>
    <w:rsid w:val="52CE3434"/>
    <w:rsid w:val="531E4BB6"/>
    <w:rsid w:val="538066BD"/>
    <w:rsid w:val="54A57465"/>
    <w:rsid w:val="552F2580"/>
    <w:rsid w:val="55300465"/>
    <w:rsid w:val="55423F4E"/>
    <w:rsid w:val="55464DF3"/>
    <w:rsid w:val="5562114A"/>
    <w:rsid w:val="5571359D"/>
    <w:rsid w:val="55B96904"/>
    <w:rsid w:val="55FD1495"/>
    <w:rsid w:val="57075210"/>
    <w:rsid w:val="57395B61"/>
    <w:rsid w:val="57C0631D"/>
    <w:rsid w:val="582D1BA2"/>
    <w:rsid w:val="58C9316B"/>
    <w:rsid w:val="59DF0A50"/>
    <w:rsid w:val="59F10F93"/>
    <w:rsid w:val="5A34480A"/>
    <w:rsid w:val="5A4763F3"/>
    <w:rsid w:val="5A4C5D70"/>
    <w:rsid w:val="5A6B5618"/>
    <w:rsid w:val="5B061C74"/>
    <w:rsid w:val="5B774AA8"/>
    <w:rsid w:val="5B9642B7"/>
    <w:rsid w:val="5C2475F5"/>
    <w:rsid w:val="5C9D43D6"/>
    <w:rsid w:val="5CD24D0E"/>
    <w:rsid w:val="5D526D2F"/>
    <w:rsid w:val="5D6E73AA"/>
    <w:rsid w:val="5D90517C"/>
    <w:rsid w:val="5DD75F7C"/>
    <w:rsid w:val="5E096733"/>
    <w:rsid w:val="5E7536C9"/>
    <w:rsid w:val="5ED465AE"/>
    <w:rsid w:val="5EFF011E"/>
    <w:rsid w:val="5F647270"/>
    <w:rsid w:val="601E2160"/>
    <w:rsid w:val="607D3330"/>
    <w:rsid w:val="609F7046"/>
    <w:rsid w:val="61A856F1"/>
    <w:rsid w:val="627D3DDC"/>
    <w:rsid w:val="62AC42E5"/>
    <w:rsid w:val="634250FA"/>
    <w:rsid w:val="636F7149"/>
    <w:rsid w:val="63902534"/>
    <w:rsid w:val="63A354FB"/>
    <w:rsid w:val="63EE605B"/>
    <w:rsid w:val="640E0FC4"/>
    <w:rsid w:val="64624C77"/>
    <w:rsid w:val="65054020"/>
    <w:rsid w:val="65E40A3A"/>
    <w:rsid w:val="667B3831"/>
    <w:rsid w:val="66BB6B9C"/>
    <w:rsid w:val="67276265"/>
    <w:rsid w:val="6745585A"/>
    <w:rsid w:val="6804744D"/>
    <w:rsid w:val="691A3984"/>
    <w:rsid w:val="695828FB"/>
    <w:rsid w:val="69C66289"/>
    <w:rsid w:val="6A0E24B7"/>
    <w:rsid w:val="6A2F565A"/>
    <w:rsid w:val="6ADA5099"/>
    <w:rsid w:val="6B380FE5"/>
    <w:rsid w:val="6B580F71"/>
    <w:rsid w:val="6BC5084F"/>
    <w:rsid w:val="6BD477EC"/>
    <w:rsid w:val="6CEF600F"/>
    <w:rsid w:val="6D440DFA"/>
    <w:rsid w:val="6E827F52"/>
    <w:rsid w:val="6E98123B"/>
    <w:rsid w:val="6EED0353"/>
    <w:rsid w:val="6FCE3C4B"/>
    <w:rsid w:val="706B07AF"/>
    <w:rsid w:val="7083777C"/>
    <w:rsid w:val="71451DF0"/>
    <w:rsid w:val="71A837F6"/>
    <w:rsid w:val="7304322E"/>
    <w:rsid w:val="734809D0"/>
    <w:rsid w:val="735A0ECB"/>
    <w:rsid w:val="739A109D"/>
    <w:rsid w:val="7415715D"/>
    <w:rsid w:val="744F372E"/>
    <w:rsid w:val="752E132E"/>
    <w:rsid w:val="75441D6A"/>
    <w:rsid w:val="75E615DF"/>
    <w:rsid w:val="761D2545"/>
    <w:rsid w:val="76384F10"/>
    <w:rsid w:val="76395C9B"/>
    <w:rsid w:val="76782D4F"/>
    <w:rsid w:val="768A56E5"/>
    <w:rsid w:val="76D05E46"/>
    <w:rsid w:val="76D91BEF"/>
    <w:rsid w:val="777A649B"/>
    <w:rsid w:val="77CF4E36"/>
    <w:rsid w:val="77E608F6"/>
    <w:rsid w:val="780C0015"/>
    <w:rsid w:val="782E2298"/>
    <w:rsid w:val="7869696E"/>
    <w:rsid w:val="787A2E35"/>
    <w:rsid w:val="78BF3772"/>
    <w:rsid w:val="78EE47ED"/>
    <w:rsid w:val="7A372269"/>
    <w:rsid w:val="7A766A4F"/>
    <w:rsid w:val="7A8B52C8"/>
    <w:rsid w:val="7AB02F7C"/>
    <w:rsid w:val="7AD6108C"/>
    <w:rsid w:val="7AFB4321"/>
    <w:rsid w:val="7C6A4D6B"/>
    <w:rsid w:val="7C964FDD"/>
    <w:rsid w:val="7D2B6D03"/>
    <w:rsid w:val="7D3D245D"/>
    <w:rsid w:val="7D772168"/>
    <w:rsid w:val="7D8255E9"/>
    <w:rsid w:val="7DC32556"/>
    <w:rsid w:val="7E2D2471"/>
    <w:rsid w:val="7E5C07A9"/>
    <w:rsid w:val="7E5F0627"/>
    <w:rsid w:val="7E652938"/>
    <w:rsid w:val="7E9501F8"/>
    <w:rsid w:val="7F2966D1"/>
    <w:rsid w:val="7FCA50E5"/>
    <w:rsid w:val="7FE70CA0"/>
    <w:rsid w:val="7FF30283"/>
    <w:rsid w:val="7FF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207</Words>
  <Characters>1182</Characters>
  <Lines>9</Lines>
  <Paragraphs>2</Paragraphs>
  <TotalTime>7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金银铜铁</cp:lastModifiedBy>
  <cp:lastPrinted>2019-11-25T08:04:00Z</cp:lastPrinted>
  <dcterms:modified xsi:type="dcterms:W3CDTF">2021-03-05T02:31:16Z</dcterms:modified>
  <dc:title>直读光谱仪测量中低合金钢中锰含量的测量不确定度评定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