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lang w:val="en-US" w:eastAsia="zh-CN"/>
        </w:rPr>
        <w:t>远程</w:t>
      </w:r>
      <w:bookmarkStart w:id="24" w:name="_GoBack"/>
      <w:bookmarkEnd w:id="24"/>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ascii="楷体" w:hAnsi="楷体" w:eastAsia="楷体"/>
          <w:b/>
          <w:color w:val="000000" w:themeColor="text1"/>
          <w:sz w:val="32"/>
          <w:szCs w:val="32"/>
        </w:rPr>
        <w:t>天津金汇融物业管理有限公司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李京田</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2018-N1QMS-3014142</w:t>
            </w:r>
          </w:p>
          <w:p>
            <w:pPr>
              <w:jc w:val="center"/>
              <w:rPr>
                <w:b/>
                <w:sz w:val="21"/>
                <w:szCs w:val="21"/>
              </w:rPr>
            </w:pPr>
            <w:r>
              <w:rPr>
                <w:b/>
                <w:sz w:val="21"/>
                <w:szCs w:val="21"/>
              </w:rPr>
              <w:t>2020-N1EMS-3014142</w:t>
            </w:r>
          </w:p>
          <w:p>
            <w:pPr>
              <w:jc w:val="center"/>
              <w:rPr>
                <w:b/>
                <w:sz w:val="21"/>
                <w:szCs w:val="21"/>
              </w:rPr>
            </w:pPr>
            <w:r>
              <w:rPr>
                <w:b/>
                <w:sz w:val="21"/>
                <w:szCs w:val="21"/>
              </w:rPr>
              <w:t>2020-N1OHSMS-3014142</w:t>
            </w:r>
          </w:p>
        </w:tc>
        <w:tc>
          <w:tcPr>
            <w:tcW w:w="1728" w:type="dxa"/>
            <w:gridSpan w:val="2"/>
            <w:vAlign w:val="center"/>
          </w:tcPr>
          <w:p>
            <w:pPr>
              <w:jc w:val="center"/>
              <w:rPr>
                <w:b/>
                <w:sz w:val="21"/>
                <w:szCs w:val="21"/>
              </w:rPr>
            </w:pPr>
            <w:r>
              <w:rPr>
                <w:b/>
                <w:sz w:val="21"/>
                <w:szCs w:val="21"/>
              </w:rPr>
              <w:t>Q:35.15.00</w:t>
            </w:r>
          </w:p>
          <w:p>
            <w:pPr>
              <w:jc w:val="center"/>
              <w:rPr>
                <w:b/>
                <w:sz w:val="21"/>
                <w:szCs w:val="21"/>
              </w:rPr>
            </w:pPr>
            <w:r>
              <w:rPr>
                <w:b/>
                <w:sz w:val="21"/>
                <w:szCs w:val="21"/>
              </w:rPr>
              <w:t>E:35.15.00</w:t>
            </w:r>
          </w:p>
          <w:p>
            <w:pPr>
              <w:jc w:val="center"/>
              <w:rPr>
                <w:b/>
                <w:sz w:val="21"/>
                <w:szCs w:val="21"/>
              </w:rPr>
            </w:pPr>
            <w:r>
              <w:rPr>
                <w:b/>
                <w:sz w:val="21"/>
                <w:szCs w:val="21"/>
              </w:rPr>
              <w:t>O:35.15.00</w:t>
            </w:r>
          </w:p>
        </w:tc>
        <w:tc>
          <w:tcPr>
            <w:tcW w:w="1729" w:type="dxa"/>
            <w:gridSpan w:val="2"/>
            <w:vAlign w:val="center"/>
          </w:tcPr>
          <w:p>
            <w:pPr>
              <w:jc w:val="center"/>
              <w:rPr>
                <w:b/>
                <w:sz w:val="21"/>
                <w:szCs w:val="21"/>
              </w:rPr>
            </w:pPr>
            <w:r>
              <w:rPr>
                <w:b/>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李雅静</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2019-N1QMS-1218164</w:t>
            </w:r>
          </w:p>
          <w:p>
            <w:pPr>
              <w:jc w:val="center"/>
              <w:rPr>
                <w:b/>
                <w:sz w:val="21"/>
                <w:szCs w:val="21"/>
              </w:rPr>
            </w:pPr>
            <w:r>
              <w:rPr>
                <w:b/>
                <w:sz w:val="21"/>
                <w:szCs w:val="21"/>
              </w:rPr>
              <w:t>2020-N1EMS-1218164</w:t>
            </w:r>
          </w:p>
          <w:p>
            <w:pPr>
              <w:jc w:val="center"/>
              <w:rPr>
                <w:b/>
                <w:sz w:val="21"/>
                <w:szCs w:val="21"/>
              </w:rPr>
            </w:pPr>
            <w:r>
              <w:rPr>
                <w:b/>
                <w:sz w:val="21"/>
                <w:szCs w:val="21"/>
              </w:rPr>
              <w:t>2019-N1OHSMS-1218164</w:t>
            </w:r>
          </w:p>
        </w:tc>
        <w:tc>
          <w:tcPr>
            <w:tcW w:w="1728" w:type="dxa"/>
            <w:gridSpan w:val="2"/>
            <w:vAlign w:val="center"/>
          </w:tcPr>
          <w:p>
            <w:pPr>
              <w:jc w:val="center"/>
              <w:rPr>
                <w:b/>
                <w:sz w:val="21"/>
                <w:szCs w:val="21"/>
              </w:rPr>
            </w:pPr>
            <w:r>
              <w:rPr>
                <w:b/>
                <w:sz w:val="21"/>
                <w:szCs w:val="21"/>
              </w:rPr>
              <w:t>E:35.15.00</w:t>
            </w:r>
          </w:p>
          <w:p>
            <w:pPr>
              <w:jc w:val="center"/>
              <w:rPr>
                <w:b/>
                <w:sz w:val="21"/>
                <w:szCs w:val="21"/>
              </w:rPr>
            </w:pPr>
            <w:r>
              <w:rPr>
                <w:b/>
                <w:sz w:val="21"/>
                <w:szCs w:val="21"/>
              </w:rPr>
              <w:t>O:35.15.00</w:t>
            </w:r>
          </w:p>
        </w:tc>
        <w:tc>
          <w:tcPr>
            <w:tcW w:w="1729" w:type="dxa"/>
            <w:gridSpan w:val="2"/>
            <w:vAlign w:val="center"/>
          </w:tcPr>
          <w:p>
            <w:pPr>
              <w:jc w:val="center"/>
              <w:rPr>
                <w:b/>
                <w:sz w:val="21"/>
                <w:szCs w:val="21"/>
              </w:rPr>
            </w:pPr>
            <w:r>
              <w:rPr>
                <w:b/>
                <w:sz w:val="21"/>
                <w:szCs w:val="21"/>
              </w:rPr>
              <w:t>ISC-218164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冯雪峥</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Q:实习审核员</w:t>
            </w:r>
          </w:p>
        </w:tc>
        <w:tc>
          <w:tcPr>
            <w:tcW w:w="1699" w:type="dxa"/>
            <w:vAlign w:val="center"/>
          </w:tcPr>
          <w:p>
            <w:pPr>
              <w:jc w:val="center"/>
              <w:rPr>
                <w:b/>
                <w:sz w:val="21"/>
                <w:szCs w:val="21"/>
              </w:rPr>
            </w:pPr>
            <w:r>
              <w:rPr>
                <w:b/>
                <w:sz w:val="21"/>
                <w:szCs w:val="21"/>
              </w:rPr>
              <w:t>2019-N0QMS-1250120</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ISC-250120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刘本胜</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Q:实习审核员</w:t>
            </w:r>
          </w:p>
        </w:tc>
        <w:tc>
          <w:tcPr>
            <w:tcW w:w="1699" w:type="dxa"/>
            <w:vAlign w:val="center"/>
          </w:tcPr>
          <w:p>
            <w:pPr>
              <w:jc w:val="center"/>
              <w:rPr>
                <w:b/>
                <w:sz w:val="21"/>
                <w:szCs w:val="21"/>
              </w:rPr>
            </w:pPr>
            <w:r>
              <w:rPr>
                <w:b/>
                <w:sz w:val="21"/>
                <w:szCs w:val="21"/>
              </w:rPr>
              <w:t>2021-N0QMS-1274202</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ISC-274202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9" w:name="组织名称Add"/>
            <w:r>
              <w:rPr>
                <w:rFonts w:ascii="宋体"/>
                <w:b/>
                <w:color w:val="FF0000"/>
                <w:sz w:val="21"/>
              </w:rPr>
              <w:t>天津金汇融物业管理有限公司</w:t>
            </w:r>
            <w:bookmarkEnd w:id="9"/>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0" w:name="注册地址"/>
            <w:r>
              <w:rPr>
                <w:rFonts w:ascii="宋体"/>
                <w:b/>
                <w:sz w:val="21"/>
              </w:rPr>
              <w:t>天津市滨海新区寨上街新开南路(华新药厂北楼)</w:t>
            </w:r>
            <w:bookmarkEnd w:id="10"/>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1" w:name="注册邮编"/>
            <w:r>
              <w:rPr>
                <w:rFonts w:ascii="宋体"/>
                <w:b/>
                <w:sz w:val="21"/>
              </w:rPr>
              <w:t>300451</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2" w:name="办公地址"/>
            <w:r>
              <w:rPr>
                <w:rFonts w:ascii="宋体"/>
                <w:b/>
                <w:sz w:val="21"/>
              </w:rPr>
              <w:t>天津市滨海新区寨上街新开南路(华新药厂北楼)</w:t>
            </w:r>
            <w:bookmarkEnd w:id="12"/>
          </w:p>
        </w:tc>
        <w:tc>
          <w:tcPr>
            <w:tcW w:w="1672" w:type="dxa"/>
            <w:vMerge w:val="continue"/>
            <w:vAlign w:val="center"/>
          </w:tcPr>
          <w:p>
            <w:pPr>
              <w:jc w:val="center"/>
              <w:rPr>
                <w:rFonts w:ascii="宋体"/>
                <w:b/>
                <w:sz w:val="21"/>
              </w:rPr>
            </w:pPr>
          </w:p>
        </w:tc>
        <w:tc>
          <w:tcPr>
            <w:tcW w:w="1500" w:type="dxa"/>
          </w:tcPr>
          <w:p>
            <w:pPr>
              <w:rPr>
                <w:rFonts w:ascii="宋体"/>
                <w:b/>
                <w:sz w:val="21"/>
              </w:rPr>
            </w:pPr>
            <w:bookmarkStart w:id="13" w:name="办公邮编"/>
            <w:r>
              <w:rPr>
                <w:rFonts w:ascii="宋体"/>
                <w:b/>
                <w:sz w:val="21"/>
              </w:rPr>
              <w:t>300451</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4" w:name="生产地址Add"/>
            <w:r>
              <w:rPr>
                <w:rFonts w:ascii="宋体"/>
                <w:b/>
                <w:sz w:val="21"/>
              </w:rPr>
              <w:t>天津市滨海新区寨上街新开南路(华新药厂北楼)</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生产邮编"/>
            <w:r>
              <w:rPr>
                <w:rFonts w:ascii="宋体"/>
                <w:b/>
                <w:sz w:val="21"/>
              </w:rPr>
              <w:t>300451</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6" w:name="联系人"/>
            <w:r>
              <w:rPr>
                <w:rFonts w:ascii="宋体"/>
                <w:b/>
                <w:sz w:val="21"/>
              </w:rPr>
              <w:t>王遂春</w:t>
            </w:r>
            <w:bookmarkEnd w:id="16"/>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7" w:name="联系人电话Add"/>
            <w:r>
              <w:rPr>
                <w:rFonts w:ascii="宋体"/>
                <w:b/>
                <w:sz w:val="21"/>
              </w:rPr>
              <w:t>13910685239</w:t>
            </w:r>
            <w:bookmarkEnd w:id="17"/>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9" w:name="法人"/>
            <w:r>
              <w:rPr>
                <w:rFonts w:ascii="宋体" w:hAnsi="宋体"/>
                <w:b/>
                <w:sz w:val="21"/>
                <w:szCs w:val="21"/>
              </w:rPr>
              <w:t>王遂春</w:t>
            </w:r>
            <w:bookmarkEnd w:id="19"/>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0" w:name="管理者代表"/>
            <w:r>
              <w:rPr>
                <w:rFonts w:ascii="宋体"/>
                <w:b/>
                <w:sz w:val="21"/>
              </w:rPr>
              <w:t>于国荣</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1" w:name="审核日期"/>
            <w:r>
              <w:rPr>
                <w:rFonts w:ascii="宋体" w:hAnsi="宋体"/>
                <w:b/>
                <w:sz w:val="21"/>
                <w:szCs w:val="21"/>
              </w:rPr>
              <w:t>2021年01月30日 上午至2021年01月31日 上午</w:t>
            </w:r>
            <w:bookmarkEnd w:id="21"/>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rPr>
                <w:rFonts w:hint="eastAsia"/>
                <w:color w:val="000000"/>
                <w:szCs w:val="21"/>
              </w:rPr>
            </w:pPr>
            <w:bookmarkStart w:id="22" w:name="审核范围"/>
            <w:r>
              <w:rPr>
                <w:rFonts w:hint="eastAsia" w:ascii="宋体" w:hAnsi="宋体"/>
                <w:szCs w:val="21"/>
              </w:rPr>
              <w:t>Q：物业管理</w:t>
            </w:r>
          </w:p>
          <w:p>
            <w:pPr>
              <w:rPr>
                <w:rFonts w:hint="eastAsia" w:ascii="宋体" w:hAnsi="宋体"/>
                <w:szCs w:val="21"/>
              </w:rPr>
            </w:pPr>
            <w:r>
              <w:rPr>
                <w:rFonts w:hint="eastAsia" w:ascii="宋体" w:hAnsi="宋体"/>
                <w:szCs w:val="21"/>
              </w:rPr>
              <w:t>E：物业管理及相关环境管理活动</w:t>
            </w:r>
          </w:p>
          <w:p>
            <w:pPr>
              <w:spacing w:line="360" w:lineRule="exact"/>
              <w:rPr>
                <w:rFonts w:ascii="宋体" w:hAnsi="宋体"/>
                <w:b/>
                <w:sz w:val="21"/>
                <w:szCs w:val="21"/>
              </w:rPr>
            </w:pPr>
            <w:r>
              <w:rPr>
                <w:rFonts w:hint="eastAsia" w:ascii="宋体" w:hAnsi="宋体"/>
                <w:szCs w:val="21"/>
              </w:rPr>
              <w:t>O：物业管理及相关职业健康安全管理活动</w:t>
            </w:r>
            <w:bookmarkEnd w:id="22"/>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3" w:name="专业代码"/>
            <w:r>
              <w:rPr>
                <w:rFonts w:ascii="宋体" w:hAnsi="宋体"/>
                <w:b/>
                <w:sz w:val="21"/>
                <w:szCs w:val="21"/>
              </w:rPr>
              <w:t>Q：35.15.00</w:t>
            </w:r>
          </w:p>
          <w:p>
            <w:pPr>
              <w:spacing w:line="260" w:lineRule="exact"/>
              <w:rPr>
                <w:rFonts w:ascii="宋体" w:hAnsi="宋体"/>
                <w:b/>
                <w:sz w:val="21"/>
                <w:szCs w:val="21"/>
              </w:rPr>
            </w:pPr>
            <w:r>
              <w:rPr>
                <w:rFonts w:ascii="宋体" w:hAnsi="宋体"/>
                <w:b/>
                <w:sz w:val="21"/>
                <w:szCs w:val="21"/>
              </w:rPr>
              <w:t>E：35.15.00</w:t>
            </w:r>
          </w:p>
          <w:p>
            <w:pPr>
              <w:spacing w:line="260" w:lineRule="exact"/>
              <w:rPr>
                <w:rFonts w:ascii="宋体" w:hAnsi="宋体"/>
                <w:b/>
                <w:sz w:val="21"/>
                <w:szCs w:val="21"/>
              </w:rPr>
            </w:pPr>
            <w:r>
              <w:rPr>
                <w:rFonts w:ascii="宋体" w:hAnsi="宋体"/>
                <w:b/>
                <w:sz w:val="21"/>
                <w:szCs w:val="21"/>
              </w:rPr>
              <w:t>O：35.15.00</w:t>
            </w:r>
            <w:bookmarkEnd w:id="23"/>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eastAsia" w:ascii="宋体" w:hAnsi="宋体"/>
                <w:b/>
                <w:sz w:val="21"/>
                <w:szCs w:val="21"/>
                <w:lang w:val="en-US" w:eastAsia="zh-CN"/>
              </w:rPr>
            </w:pPr>
          </w:p>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2022-10-14</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ascii="宋体" w:hAnsi="宋体"/>
                <w:b/>
                <w:sz w:val="21"/>
                <w:szCs w:val="21"/>
                <w:lang w:val="en-US" w:eastAsia="zh-CN"/>
              </w:rPr>
              <w:t>2019-10-06 -- 2019-10-11</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10</w:t>
      </w:r>
      <w:r>
        <w:rPr>
          <w:rFonts w:hint="eastAsia" w:ascii="宋体" w:hAnsi="宋体"/>
          <w:b/>
          <w:sz w:val="21"/>
          <w:szCs w:val="21"/>
        </w:rPr>
        <w:t>月</w:t>
      </w:r>
      <w:r>
        <w:rPr>
          <w:rFonts w:hint="eastAsia" w:ascii="宋体" w:hAnsi="宋体"/>
          <w:b/>
          <w:sz w:val="21"/>
          <w:szCs w:val="21"/>
          <w:lang w:val="en-US" w:eastAsia="zh-CN"/>
        </w:rPr>
        <w:t>11</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1</w:t>
      </w:r>
      <w:r>
        <w:rPr>
          <w:rFonts w:hint="eastAsia" w:ascii="宋体" w:hAnsi="宋体"/>
          <w:b/>
          <w:sz w:val="21"/>
          <w:szCs w:val="21"/>
        </w:rPr>
        <w:t>月</w:t>
      </w:r>
      <w:r>
        <w:rPr>
          <w:rFonts w:hint="eastAsia" w:ascii="宋体" w:hAnsi="宋体"/>
          <w:b/>
          <w:sz w:val="21"/>
          <w:szCs w:val="21"/>
          <w:lang w:val="en-US" w:eastAsia="zh-CN"/>
        </w:rPr>
        <w:t>31</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spacing w:line="240" w:lineRule="exact"/>
            </w:pPr>
            <w:r>
              <w:t>1、</w:t>
            </w:r>
            <w:r>
              <w:rPr>
                <w:rFonts w:hint="eastAsia"/>
              </w:rPr>
              <w:t>组织及其环境的识别情况</w:t>
            </w:r>
          </w:p>
          <w:p>
            <w:pPr>
              <w:rPr>
                <w:rStyle w:val="15"/>
                <w:rFonts w:ascii="Arial" w:hAnsi="Arial" w:cs="Arial"/>
                <w:color w:val="333333"/>
                <w:shd w:val="clear" w:color="auto" w:fill="FFFFFF"/>
              </w:rPr>
            </w:pPr>
            <w:r>
              <w:rPr>
                <w:rStyle w:val="15"/>
                <w:rFonts w:hint="eastAsia" w:ascii="Arial" w:hAnsi="Arial" w:cs="Arial"/>
                <w:color w:val="333333"/>
              </w:rPr>
              <w:t>天津金汇融物业管理有限公司,2018年03月08日成立，营业期限：2018-03-08 - 无限期，注册资金：500万，企业信用代码：91120116MA06AFRE43，注册地址：天津市滨海新区寨上街新开南路（华新药厂北楼），经营范围包括物业管理；中央空调的安装、维修；绿化种植养护；建筑维修；清洁服务；安全保卫防范技术开发、咨询服务；网路技术服务；办公用品、电脑耗材、中央空调及配件、家用电器、电线、电缆、消毒用品、苗木、日用百货、消防器材、五金交电、机械设备、通讯器材、电子产品、劳保用品、装饰装修材料、家具、计算机及辅助设备、针纺织品、服装鞋帽、橡塑制品、皮革制品、食品、生鲜肉、农副产品、水果、蔬菜、水产品批发兼零售；烟零售；商品信息咨询；普通货运；会议服务；展览展示服务；装卸搬到服务；单位后勤管理服务；供暖服务，代收取暖费；停车场服务；劳务服务；坏境绿化服务；餐饮服务；网络运行维护服务；安全系统监控服务；道路清扫服务；家庭服务；汽车租赁；钢结构工程、土石方工程、建筑工程、市政工程、管道工路桥梁工程施工；城市垃圾清扫、收集、运输、处理。（依法须经批准的项目，经相关部门批准后方可开展经营活动）</w:t>
            </w:r>
            <w:r>
              <w:rPr>
                <w:rStyle w:val="15"/>
                <w:color w:val="333333"/>
              </w:rPr>
              <w:t> </w:t>
            </w:r>
            <w:r>
              <w:rPr>
                <w:rStyle w:val="15"/>
                <w:rFonts w:hint="eastAsia" w:ascii="Arial" w:hAnsi="Arial" w:cs="Arial"/>
                <w:color w:val="333333"/>
                <w:shd w:val="clear" w:color="auto" w:fill="FFFFFF"/>
              </w:rPr>
              <w:t>，公司的主要客户群为全国各地的企业、机关等；公司采用总经理负责制，层层把关，让用户真正放心</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numPr>
                <w:ilvl w:val="0"/>
                <w:numId w:val="1"/>
              </w:numPr>
              <w:spacing w:line="240" w:lineRule="exact"/>
            </w:pPr>
            <w:r>
              <w:rPr>
                <w:rFonts w:hint="eastAsia"/>
              </w:rPr>
              <w:t>相关方需求和期望识别情况</w:t>
            </w:r>
          </w:p>
          <w:p>
            <w:r>
              <w:rPr>
                <w:rFonts w:hint="eastAsia"/>
              </w:rPr>
              <w:t>在公司运营过程中充分考虑相关方方面的期望或要求，识别的相关方有：顾客、最终用户或受益人、业主，股东、员工等。物业部门和相关职能部门通过日常例会、市场活动、现场拜访、产品展销会、客户调查等多种渠道和方式方法随时了解相关方的需求和期望。做为公司经营风险分析和发展机遇的可利用资源。</w:t>
            </w:r>
          </w:p>
          <w:p>
            <w:pPr>
              <w:rPr>
                <w:rFonts w:ascii="宋体" w:hAnsi="宋体"/>
                <w:b/>
                <w:sz w:val="21"/>
                <w:szCs w:val="21"/>
              </w:rPr>
            </w:pPr>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spacing w:line="360" w:lineRule="auto"/>
              <w:rPr>
                <w:rFonts w:ascii="宋体" w:hAnsi="宋体"/>
                <w:b/>
              </w:rPr>
            </w:pPr>
            <w:r>
              <w:rPr>
                <w:rFonts w:hint="eastAsia" w:ascii="宋体" w:hAnsi="宋体"/>
                <w:b/>
                <w:bCs/>
              </w:rPr>
              <w:t>优质服务</w:t>
            </w:r>
            <w:r>
              <w:rPr>
                <w:rFonts w:ascii="宋体" w:hAnsi="宋体"/>
                <w:b/>
                <w:bCs/>
              </w:rPr>
              <w:t>、业主满意、环保达标</w:t>
            </w:r>
            <w:r>
              <w:rPr>
                <w:rFonts w:hint="eastAsia" w:ascii="宋体" w:hAnsi="宋体"/>
                <w:b/>
                <w:bCs/>
              </w:rPr>
              <w:t>、</w:t>
            </w:r>
            <w:r>
              <w:rPr>
                <w:rFonts w:ascii="宋体" w:hAnsi="宋体"/>
                <w:b/>
                <w:bCs/>
              </w:rPr>
              <w:t>遵规守法、持续改进</w:t>
            </w:r>
            <w:r>
              <w:rPr>
                <w:rFonts w:hint="eastAsia" w:ascii="宋体" w:hAnsi="宋体"/>
                <w:b/>
                <w:bCs/>
              </w:rPr>
              <w:t>。</w:t>
            </w:r>
          </w:p>
          <w:p>
            <w:pPr>
              <w:pStyle w:val="2"/>
            </w:pPr>
            <w:r>
              <w:rPr>
                <w:rFonts w:hint="eastAsia"/>
                <w:color w:val="000000"/>
              </w:rPr>
              <w:t>通过管理手册的分发使全体员工理解方针，通过内审和管理评审保持方针的适宜性。</w:t>
            </w:r>
          </w:p>
          <w:p>
            <w:pPr>
              <w:spacing w:line="240" w:lineRule="exact"/>
              <w:ind w:left="228" w:leftChars="95"/>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numPr>
                <w:ilvl w:val="0"/>
                <w:numId w:val="1"/>
              </w:numPr>
              <w:spacing w:line="240" w:lineRule="exact"/>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w:t>
            </w:r>
            <w:r>
              <w:rPr>
                <w:rFonts w:hint="eastAsia"/>
                <w:lang w:val="en-US" w:eastAsia="zh-CN"/>
              </w:rPr>
              <w:t>20</w:t>
            </w:r>
            <w:r>
              <w:rPr>
                <w:rFonts w:hint="eastAsia"/>
              </w:rPr>
              <w:t>年度 SWOT经营环境分析及对策报告”，对影响公司经营和发展的各种因素（内外部环境、相关方要求等）进行分析，确定需要应对的风险和机遇</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ind w:firstLine="240" w:firstLineChars="100"/>
            </w:pPr>
            <w:r>
              <w:rPr>
                <w:rFonts w:hint="eastAsia"/>
              </w:rPr>
              <w:t>质量管理体系过程有：</w:t>
            </w:r>
            <w:r>
              <w:rPr>
                <w:rFonts w:hint="eastAsia"/>
                <w:bCs/>
              </w:rPr>
              <w:t>获取产品物业管理项目信息（采用投标、参加展会、业务员主动拜访客户、介绍产品、老客户介绍、根据物业管理目录等多种方式）--项目情况调查、客户沟通--分析汇总、决策--进入项目跟踪阶段--进入投标报价阶段--如中标--与产品厂家确认供货周期、交付等--签订物业管理合同</w:t>
            </w:r>
            <w:r>
              <w:rPr>
                <w:bCs/>
              </w:rPr>
              <w:t>—</w:t>
            </w:r>
            <w:r>
              <w:rPr>
                <w:rFonts w:hint="eastAsia"/>
                <w:bCs/>
              </w:rPr>
              <w:t>采购产品</w:t>
            </w:r>
            <w:r>
              <w:rPr>
                <w:bCs/>
              </w:rPr>
              <w:t>—</w:t>
            </w:r>
            <w:r>
              <w:rPr>
                <w:rFonts w:hint="eastAsia"/>
                <w:bCs/>
              </w:rPr>
              <w:t>产品交付、验收--客户接收确认</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物业管理服务过程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  物业管理服务过程</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2053" o:spid="_x0000_s2053" o:spt="32" type="#_x0000_t32" style="position:absolute;left:0pt;margin-left:157.9pt;margin-top:12.75pt;height:0pt;width:261.75pt;z-index:25169612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4" o:spid="_x0000_s2054" o:spt="32" type="#_x0000_t32" style="position:absolute;left:0pt;margin-left:55.15pt;margin-top:12.75pt;height:0pt;width:42pt;z-index:25169510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8.3     ，不适用理由：   公司的物业管理服务不涉及设计开发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leftChars="0"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80" w:firstLineChars="200"/>
              <w:rPr>
                <w:szCs w:val="21"/>
              </w:rPr>
            </w:pPr>
            <w:r>
              <w:rPr>
                <w:rFonts w:hint="eastAsia"/>
                <w:szCs w:val="21"/>
              </w:rPr>
              <w:t>编制了</w:t>
            </w:r>
            <w:r>
              <w:rPr>
                <w:szCs w:val="21"/>
              </w:rPr>
              <w:t>《环境因素的识别与评价控制程序》</w:t>
            </w:r>
            <w:r>
              <w:rPr>
                <w:rFonts w:hint="eastAsia"/>
                <w:szCs w:val="21"/>
              </w:rPr>
              <w:t>符合标准要求.</w:t>
            </w:r>
          </w:p>
          <w:p>
            <w:pPr>
              <w:ind w:firstLine="480" w:firstLineChars="200"/>
            </w:pPr>
            <w:r>
              <w:rPr>
                <w:rFonts w:hint="eastAsia"/>
                <w:szCs w:val="21"/>
              </w:rPr>
              <w:t>提供的“环境因素识别评价表”“重要环境因素清单”， 评价考虑了三种时态现在、过去、将来、三种状态、异常、正常、紧急考虑了法律法规，并进行了评价，针对</w:t>
            </w:r>
            <w:r>
              <w:rPr>
                <w:rFonts w:hint="eastAsia" w:ascii="宋体" w:hAnsi="宋体" w:cs="宋体"/>
                <w:kern w:val="0"/>
                <w:szCs w:val="21"/>
              </w:rPr>
              <w:t>服装机械设备及零配件的物业管理</w:t>
            </w:r>
            <w:r>
              <w:rPr>
                <w:rFonts w:hint="eastAsia"/>
                <w:szCs w:val="21"/>
              </w:rPr>
              <w:t>过程，用打分法考虑了法规符合性、发生频次、影响范围等, 通过定性判断法，共识别出重大环境因素3项：固废排放、火灾，评价符合程序要求及公司的实际情况。</w:t>
            </w:r>
          </w:p>
          <w:p>
            <w:pPr>
              <w:spacing w:line="300" w:lineRule="exact"/>
              <w:rPr>
                <w:rFonts w:ascii="宋体" w:hAnsi="宋体"/>
                <w:b/>
                <w:sz w:val="21"/>
                <w:szCs w:val="21"/>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pPr>
            <w:r>
              <w:rPr>
                <w:rFonts w:hint="eastAsia"/>
              </w:rPr>
              <w:t xml:space="preserve">7. </w:t>
            </w:r>
            <w:r>
              <w:t>OHSMS</w:t>
            </w:r>
            <w:r>
              <w:rPr>
                <w:rFonts w:hint="eastAsia"/>
              </w:rPr>
              <w:t>职业健康安全危险源</w:t>
            </w:r>
          </w:p>
          <w:p>
            <w:pPr>
              <w:spacing w:line="300" w:lineRule="exact"/>
            </w:pPr>
            <w:r>
              <w:rPr>
                <w:rFonts w:hint="eastAsia"/>
              </w:rPr>
              <w:t>（职业健康安全危险源辨识是否充分、风险评价合理性，以及风险评价动态变更的及时性等）</w:t>
            </w:r>
          </w:p>
          <w:p>
            <w:pPr>
              <w:ind w:firstLine="480" w:firstLineChars="200"/>
              <w:rPr>
                <w:szCs w:val="21"/>
              </w:rPr>
            </w:pPr>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8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通过是非法，共识别出不可接受风险3项，涉及：火灾、触电和意外伤害，评价符合程序要求及公司的实际情况。对危险源的控制措施包括制定管理制度、监督检查、应急预案、培训等。</w:t>
            </w:r>
          </w:p>
          <w:p>
            <w:pPr>
              <w:pStyle w:val="2"/>
              <w:rPr>
                <w:rFonts w:ascii="宋体" w:hAnsi="宋体"/>
                <w:b/>
                <w:sz w:val="21"/>
                <w:szCs w:val="21"/>
              </w:rPr>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获取法律法规100项，■法律法规获取充分，□法律法规获取有遗漏，缺少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6"/>
              <w:numPr>
                <w:ilvl w:val="0"/>
                <w:numId w:val="2"/>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6"/>
              <w:numPr>
                <w:ilvl w:val="0"/>
                <w:numId w:val="2"/>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80" w:firstLineChars="200"/>
              <w:rPr>
                <w:rFonts w:ascii="宋体" w:hAnsi="宋体"/>
                <w:b/>
                <w:sz w:val="21"/>
                <w:szCs w:val="2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rPr>
                <w:rFonts w:ascii="宋体" w:hAnsi="宋体"/>
                <w:b/>
                <w:sz w:val="21"/>
                <w:szCs w:val="21"/>
              </w:rPr>
            </w:pPr>
            <w:r>
              <w:rPr>
                <w:rFonts w:hint="eastAsia"/>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spacing w:line="300" w:lineRule="exact"/>
              <w:rPr>
                <w:rFonts w:ascii="宋体" w:hAnsi="宋体"/>
                <w:b/>
                <w:sz w:val="21"/>
                <w:szCs w:val="21"/>
              </w:rPr>
            </w:pPr>
            <w:r>
              <w:rPr>
                <w:rFonts w:hint="eastAsia"/>
                <w:bCs/>
                <w:szCs w:val="21"/>
              </w:rPr>
              <w:t>该公司员工共23人，管理人2人。有专业的物业管理人员，能满足</w:t>
            </w:r>
            <w:r>
              <w:rPr>
                <w:rFonts w:hint="eastAsia" w:ascii="宋体" w:hAnsi="宋体" w:cs="宋体"/>
                <w:kern w:val="0"/>
                <w:szCs w:val="21"/>
              </w:rPr>
              <w:t>物业管理</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Fonts w:ascii="Arial" w:hAnsi="Arial" w:cs="Arial"/>
                <w:color w:val="333333"/>
                <w:shd w:val="clear" w:color="auto" w:fill="FFFFFF"/>
              </w:rPr>
            </w:pPr>
            <w:r>
              <w:rPr>
                <w:rStyle w:val="15"/>
                <w:rFonts w:hint="eastAsia" w:ascii="Arial" w:hAnsi="Arial" w:cs="Arial"/>
                <w:color w:val="333333"/>
                <w:shd w:val="clear" w:color="auto" w:fill="FFFFFF"/>
              </w:rPr>
              <w:t>物业管理设备：无绳电话、拖把、抹布、扫帚、手电、除草机、园艺剪）</w:t>
            </w:r>
          </w:p>
          <w:p>
            <w:pPr>
              <w:rPr>
                <w:rStyle w:val="15"/>
                <w:rFonts w:ascii="Arial" w:hAnsi="Arial" w:cs="Arial"/>
                <w:color w:val="333333"/>
                <w:shd w:val="clear" w:color="auto" w:fill="FFFFFF"/>
              </w:rPr>
            </w:pPr>
            <w:r>
              <w:rPr>
                <w:rStyle w:val="15"/>
                <w:rFonts w:hint="eastAsia" w:ascii="Arial" w:hAnsi="Arial" w:cs="Arial"/>
                <w:color w:val="333333"/>
                <w:shd w:val="clear" w:color="auto" w:fill="FFFFFF"/>
              </w:rPr>
              <w:t>办公设备：电脑、电话、打印机等</w:t>
            </w:r>
          </w:p>
          <w:p>
            <w:pPr>
              <w:pStyle w:val="2"/>
              <w:rPr>
                <w:rStyle w:val="15"/>
                <w:rFonts w:ascii="Arial" w:hAnsi="Arial" w:cs="Arial"/>
                <w:bCs w:val="0"/>
                <w:color w:val="333333"/>
                <w:spacing w:val="0"/>
                <w:shd w:val="clear" w:color="auto" w:fill="FFFFFF"/>
              </w:rPr>
            </w:pPr>
            <w:r>
              <w:rPr>
                <w:rStyle w:val="15"/>
                <w:rFonts w:hint="eastAsia" w:ascii="Arial" w:hAnsi="Arial" w:cs="Arial"/>
                <w:bCs w:val="0"/>
                <w:color w:val="333333"/>
                <w:spacing w:val="0"/>
                <w:shd w:val="clear" w:color="auto" w:fill="FFFFFF"/>
              </w:rPr>
              <w:t>环保设备：垃圾桶、灭火器</w:t>
            </w:r>
          </w:p>
          <w:p>
            <w:pPr>
              <w:pStyle w:val="2"/>
              <w:rPr>
                <w:rStyle w:val="15"/>
                <w:rFonts w:ascii="Arial" w:hAnsi="Arial" w:cs="Arial"/>
                <w:bCs w:val="0"/>
                <w:color w:val="333333"/>
                <w:spacing w:val="0"/>
                <w:shd w:val="clear" w:color="auto" w:fill="FFFFFF"/>
              </w:rPr>
            </w:pPr>
            <w:r>
              <w:rPr>
                <w:rStyle w:val="15"/>
                <w:rFonts w:hint="eastAsia" w:ascii="Arial" w:hAnsi="Arial" w:cs="Arial"/>
                <w:bCs w:val="0"/>
                <w:color w:val="333333"/>
                <w:spacing w:val="0"/>
                <w:shd w:val="clear" w:color="auto" w:fill="FFFFFF"/>
              </w:rPr>
              <w:t>消防设施：消防栓、灭火器、应急灯等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现场观察办公区域环境卫生管理，工作场所布局合理，温湿度适宜，照明良好，满足办公需求。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sz w:val="21"/>
                <w:szCs w:val="21"/>
              </w:rPr>
            </w:pPr>
            <w:r>
              <w:rPr>
                <w:rFonts w:hint="eastAsia"/>
              </w:rPr>
              <w:t>编制有服务检查记录，能不定期对服务进行检查。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配备有消防栓、灭火器等环保设施。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bCs/>
              </w:rPr>
            </w:pPr>
            <w:r>
              <w:rPr>
                <w:rFonts w:hint="eastAsia"/>
                <w:b/>
                <w:bCs/>
              </w:rPr>
              <w:t>职业健康安全设施：</w:t>
            </w:r>
          </w:p>
          <w:p>
            <w:pPr>
              <w:spacing w:line="240" w:lineRule="exact"/>
            </w:pPr>
            <w:r>
              <w:rPr>
                <w:rFonts w:hint="eastAsia"/>
              </w:rPr>
              <w:t>配备有灭火器等环保设施。</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2"/>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r>
              <w:rPr>
                <w:rFonts w:hint="eastAsia"/>
              </w:rPr>
              <w:t xml:space="preserve">提供《物业管理服务过程确认记录表》，确认内容包括：服务方法和程序、设备工具的认可、人员资格的鉴定、记录要求等。评审结论：根据公司实际情况，物业管理实现过程按照公司质量控制管理制度进行，过程所用基础设施均处在完好状态，从业人员经过培训，胜任本职工作，可以提供满足顾客要求、法律法规要求的服务。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rFonts w:ascii="宋体" w:hAnsi="宋体"/>
                <w:b/>
                <w:color w:val="auto"/>
                <w:sz w:val="21"/>
                <w:szCs w:val="21"/>
              </w:rPr>
            </w:pPr>
          </w:p>
          <w:p>
            <w:pPr>
              <w:spacing w:line="240" w:lineRule="exact"/>
              <w:rPr>
                <w:rFonts w:hint="eastAsia" w:ascii="宋体" w:hAnsi="宋体" w:eastAsia="宋体"/>
                <w:b/>
                <w:sz w:val="21"/>
                <w:szCs w:val="21"/>
                <w:lang w:eastAsia="zh-CN"/>
              </w:rPr>
            </w:pPr>
            <w:r>
              <w:rPr>
                <w:rFonts w:hint="eastAsia" w:ascii="宋体" w:hAnsi="宋体" w:cs="宋体"/>
                <w:color w:val="auto"/>
                <w:szCs w:val="21"/>
              </w:rPr>
              <w:t>制定并实施了产品检验控制规定，规定了公司各管理层次和</w:t>
            </w:r>
            <w:r>
              <w:rPr>
                <w:rFonts w:hint="eastAsia" w:ascii="宋体" w:hAnsi="宋体" w:cs="宋体"/>
                <w:color w:val="auto"/>
                <w:szCs w:val="21"/>
                <w:lang w:val="en-US" w:eastAsia="zh-CN"/>
              </w:rPr>
              <w:t>各个部门</w:t>
            </w:r>
            <w:r>
              <w:rPr>
                <w:rFonts w:hint="eastAsia" w:ascii="宋体" w:hAnsi="宋体" w:cs="宋体"/>
                <w:color w:val="auto"/>
                <w:szCs w:val="21"/>
              </w:rPr>
              <w:t>在各阶段对服务质量实施检查与验收的管理要求。内容基本具备全面性、系统性及可操作性。质量检查与验收均在</w:t>
            </w:r>
            <w:r>
              <w:rPr>
                <w:rFonts w:hint="eastAsia" w:ascii="宋体" w:hAnsi="宋体" w:cs="宋体"/>
                <w:color w:val="auto"/>
                <w:szCs w:val="21"/>
                <w:lang w:eastAsia="zh-CN"/>
              </w:rPr>
              <w:t>交付顾客</w:t>
            </w:r>
            <w:r>
              <w:rPr>
                <w:rFonts w:hint="eastAsia" w:ascii="宋体" w:hAnsi="宋体" w:cs="宋体"/>
                <w:color w:val="auto"/>
                <w:szCs w:val="21"/>
              </w:rPr>
              <w:t>前予以实现，范围包括：</w:t>
            </w:r>
            <w:r>
              <w:rPr>
                <w:rFonts w:hint="eastAsia" w:ascii="宋体" w:hAnsi="宋体" w:cs="宋体"/>
                <w:color w:val="auto"/>
                <w:szCs w:val="21"/>
                <w:lang w:val="en-US" w:eastAsia="zh-CN"/>
              </w:rPr>
              <w:t>服务</w:t>
            </w:r>
            <w:r>
              <w:rPr>
                <w:rFonts w:hint="eastAsia" w:ascii="宋体" w:hAnsi="宋体" w:cs="宋体"/>
                <w:color w:val="auto"/>
                <w:szCs w:val="21"/>
              </w:rPr>
              <w:t>过程、</w:t>
            </w:r>
            <w:r>
              <w:rPr>
                <w:rFonts w:hint="eastAsia" w:ascii="宋体" w:hAnsi="宋体" w:cs="宋体"/>
                <w:color w:val="auto"/>
                <w:szCs w:val="21"/>
                <w:lang w:val="en-US" w:eastAsia="zh-CN"/>
              </w:rPr>
              <w:t>服务交付</w:t>
            </w:r>
            <w:r>
              <w:rPr>
                <w:rFonts w:hint="eastAsia" w:ascii="宋体" w:hAnsi="宋体" w:cs="宋体"/>
                <w:color w:val="auto"/>
                <w:szCs w:val="21"/>
              </w:rPr>
              <w:t>。以此保证持续向顾客稳定提供稳定合格的</w:t>
            </w:r>
            <w:r>
              <w:rPr>
                <w:rFonts w:hint="eastAsia" w:ascii="宋体" w:hAnsi="宋体" w:cs="宋体"/>
                <w:color w:val="auto"/>
                <w:szCs w:val="21"/>
                <w:lang w:val="en-US" w:eastAsia="zh-CN"/>
              </w:rPr>
              <w:t>服务</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r>
              <w:rPr>
                <w:rFonts w:hint="eastAsia"/>
                <w:b/>
                <w:color w:val="000000" w:themeColor="text1"/>
                <w:sz w:val="20"/>
                <w:szCs w:val="20"/>
              </w:rPr>
              <w:t xml:space="preserve"> </w:t>
            </w:r>
          </w:p>
          <w:p>
            <w:pPr>
              <w:spacing w:line="240" w:lineRule="exact"/>
              <w:rPr>
                <w:b/>
                <w:color w:val="000000" w:themeColor="text1"/>
                <w:sz w:val="20"/>
                <w:szCs w:val="20"/>
              </w:rPr>
            </w:pPr>
            <w:r>
              <w:rPr>
                <w:rFonts w:hint="eastAsia"/>
                <w:b/>
                <w:color w:val="000000" w:themeColor="text1"/>
                <w:sz w:val="20"/>
                <w:szCs w:val="20"/>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pPr>
            <w:r>
              <w:rPr>
                <w:rFonts w:hint="eastAsia"/>
              </w:rPr>
              <w:t>6. 不合格品/项的识别、控制;</w:t>
            </w:r>
          </w:p>
          <w:p>
            <w:pPr>
              <w:spacing w:line="240" w:lineRule="exact"/>
            </w:pPr>
          </w:p>
          <w:p>
            <w:pPr>
              <w:pStyle w:val="2"/>
              <w:rPr>
                <w:rFonts w:ascii="宋体" w:hAnsi="宋体"/>
                <w:b/>
                <w:sz w:val="21"/>
                <w:szCs w:val="21"/>
              </w:rPr>
            </w:pPr>
            <w:r>
              <w:rPr>
                <w:rFonts w:hint="eastAsia" w:ascii="宋体" w:hAnsi="宋体" w:cs="宋体"/>
                <w:color w:val="auto"/>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szCs w:val="21"/>
              </w:rPr>
              <w:t>对重要环境因素（火灾、固体废弃物的排放）进行了识别和控制。目前公司重大环境因素对周边环境影响不大，可得到有效控制。对相关方进行了必要告知。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szCs w:val="21"/>
              </w:rPr>
              <w:t>对不可接受风险（火灾）进行了识别和控制。目前公司不可接受风险对公司及周边环境影响不大，可得到有效控制。对相关方进行了必要告知。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rFonts w:ascii="宋体" w:hAnsi="宋体"/>
                <w:b/>
                <w:sz w:val="21"/>
                <w:szCs w:val="21"/>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bCs/>
              </w:rPr>
            </w:pPr>
            <w:r>
              <w:rPr>
                <w:rFonts w:hint="eastAsia"/>
                <w:b/>
                <w:bCs/>
              </w:rPr>
              <w:t>11 .对危险化学品物业管理、使用、储存、运输处置，规定的执行力度(必要时); （适用时）</w:t>
            </w:r>
          </w:p>
          <w:p>
            <w:pPr>
              <w:pStyle w:val="2"/>
              <w:rPr>
                <w:b/>
                <w:sz w:val="20"/>
                <w:szCs w:val="20"/>
              </w:rPr>
            </w:pPr>
          </w:p>
          <w:p>
            <w:pPr>
              <w:pStyle w:val="2"/>
              <w:rPr>
                <w:rFonts w:ascii="宋体" w:hAnsi="宋体"/>
                <w:b/>
                <w:sz w:val="21"/>
                <w:szCs w:val="21"/>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20" w:firstLineChars="50"/>
              <w:rPr>
                <w:rFonts w:ascii="宋体" w:hAnsi="宋体"/>
                <w:b/>
                <w:sz w:val="21"/>
                <w:szCs w:val="21"/>
              </w:rPr>
            </w:pPr>
            <w:r>
              <w:rPr>
                <w:rFonts w:hint="eastAsia" w:ascii="宋体" w:hAnsi="宋体" w:cs="宋体"/>
                <w:color w:val="auto"/>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1月</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2020年12</w:t>
            </w:r>
            <w:r>
              <w:rPr>
                <w:rFonts w:hint="eastAsia" w:ascii="宋体" w:hAnsi="宋体" w:cs="宋体"/>
                <w:color w:val="auto"/>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20" w:hangingChars="50"/>
            </w:pPr>
            <w:r>
              <w:rPr>
                <w:rFonts w:hint="eastAsia"/>
              </w:rPr>
              <w:t>2.顾客满意</w:t>
            </w:r>
          </w:p>
          <w:p>
            <w:pPr>
              <w:spacing w:line="240" w:lineRule="exact"/>
              <w:ind w:left="100" w:hanging="120" w:hangingChars="50"/>
            </w:pPr>
          </w:p>
          <w:p>
            <w:pPr>
              <w:spacing w:line="240" w:lineRule="exact"/>
              <w:ind w:left="120" w:leftChars="0" w:hanging="120" w:hangingChars="50"/>
              <w:rPr>
                <w:rFonts w:hint="eastAsia"/>
              </w:rPr>
            </w:pPr>
            <w:r>
              <w:rPr>
                <w:rFonts w:hint="eastAsia"/>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9</w:t>
            </w:r>
            <w:r>
              <w:rPr>
                <w:rFonts w:hint="eastAsia"/>
                <w:lang w:val="en-US" w:eastAsia="zh-CN"/>
              </w:rPr>
              <w:t>8</w:t>
            </w:r>
            <w:r>
              <w:rPr>
                <w:rFonts w:hint="eastAsia"/>
              </w:rPr>
              <w:t>分，总体实现了顾客满意度的质量目标要求。</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rFonts w:ascii="宋体" w:hAnsi="宋体"/>
                <w:b/>
                <w:sz w:val="21"/>
                <w:szCs w:val="21"/>
              </w:rPr>
            </w:pPr>
            <w:r>
              <w:rPr>
                <w:rFonts w:hint="eastAsia" w:ascii="宋体" w:hAnsi="宋体" w:cs="宋体"/>
                <w:color w:val="auto"/>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1月</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2020年11</w:t>
            </w:r>
            <w:r>
              <w:rPr>
                <w:rFonts w:hint="eastAsia" w:ascii="宋体" w:hAnsi="宋体" w:cs="宋体"/>
                <w:color w:val="auto"/>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auto"/>
                <w:szCs w:val="21"/>
              </w:rPr>
              <w:t>管理评审频次为一年一次、本次管理评审由总经理主持完成、提供主要输入材料有各部门总结，输入信息基本充分和满足要求。输出见“管理评审报告”,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r>
              <w:rPr>
                <w:rFonts w:hint="eastAsia" w:ascii="宋体" w:hAnsi="宋体"/>
                <w:b/>
                <w:sz w:val="21"/>
                <w:szCs w:val="21"/>
                <w:lang w:eastAsia="zh-CN"/>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80" w:firstLineChars="200"/>
              <w:rPr>
                <w:rFonts w:hint="eastAsia"/>
                <w:color w:val="auto"/>
              </w:rPr>
            </w:pPr>
            <w:r>
              <w:rPr>
                <w:rFonts w:hint="eastAsia"/>
                <w:color w:val="auto"/>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sz w:val="21"/>
                <w:szCs w:val="21"/>
                <w:lang w:val="en-US" w:eastAsia="zh-CN"/>
              </w:rPr>
              <w:t>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spacing w:line="240" w:lineRule="exact"/>
              <w:rPr>
                <w:rFonts w:hint="eastAsia"/>
                <w:lang w:eastAsia="zh-CN"/>
              </w:rPr>
            </w:pPr>
            <w:r>
              <w:rPr>
                <w:rFonts w:hint="eastAsia"/>
              </w:rPr>
              <w:t>上次不符合的整改情况</w:t>
            </w:r>
            <w:r>
              <w:rPr>
                <w:rFonts w:hint="eastAsia"/>
                <w:lang w:eastAsia="zh-CN"/>
              </w:rPr>
              <w:t>：</w:t>
            </w:r>
          </w:p>
          <w:p>
            <w:pPr>
              <w:numPr>
                <w:ilvl w:val="0"/>
                <w:numId w:val="0"/>
              </w:numPr>
              <w:spacing w:line="240" w:lineRule="exact"/>
              <w:rPr>
                <w:rFonts w:hint="default" w:eastAsia="宋体"/>
                <w:szCs w:val="22"/>
                <w:lang w:val="en-US" w:eastAsia="zh-CN"/>
              </w:rPr>
            </w:pPr>
            <w:r>
              <w:rPr>
                <w:rFonts w:hint="eastAsia"/>
                <w:szCs w:val="22"/>
                <w:lang w:val="en-US" w:eastAsia="zh-CN"/>
              </w:rPr>
              <w:t>初审不符合：“</w:t>
            </w:r>
            <w:r>
              <w:rPr>
                <w:rFonts w:hint="eastAsia"/>
                <w:szCs w:val="22"/>
              </w:rPr>
              <w:t>查办公现场，未有配备“灭火器”等消防设施，办公室没有“严禁烟火”等警示标识</w:t>
            </w:r>
            <w:r>
              <w:rPr>
                <w:rFonts w:hint="eastAsia"/>
                <w:szCs w:val="22"/>
                <w:lang w:eastAsia="zh-CN"/>
              </w:rPr>
              <w:t>，</w:t>
            </w:r>
            <w:r>
              <w:rPr>
                <w:rFonts w:hint="eastAsia"/>
                <w:szCs w:val="22"/>
                <w:lang w:val="en-US" w:eastAsia="zh-CN"/>
              </w:rPr>
              <w:t>经查本次审核无此情况，整改有效</w:t>
            </w:r>
          </w:p>
          <w:p>
            <w:pPr>
              <w:numPr>
                <w:ilvl w:val="0"/>
                <w:numId w:val="0"/>
              </w:numPr>
              <w:spacing w:line="240" w:lineRule="exact"/>
              <w:rPr>
                <w:rFonts w:hint="default"/>
                <w:lang w:val="en-US" w:eastAsia="zh-CN"/>
              </w:rPr>
            </w:pP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5"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ascii="宋体" w:hAnsi="宋体"/>
                <w:szCs w:val="21"/>
              </w:rPr>
              <w:t>天津金汇融物业管理有限公司</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kern w:val="2"/>
                <w:sz w:val="21"/>
                <w:szCs w:val="21"/>
                <w:lang w:val="en-GB"/>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同意推荐认证注册。</w:t>
            </w: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r>
        <w:drawing>
          <wp:anchor distT="0" distB="0" distL="114300" distR="114300" simplePos="0" relativeHeight="251697152" behindDoc="0" locked="0" layoutInCell="1" allowOverlap="1">
            <wp:simplePos x="0" y="0"/>
            <wp:positionH relativeFrom="column">
              <wp:posOffset>1671955</wp:posOffset>
            </wp:positionH>
            <wp:positionV relativeFrom="paragraph">
              <wp:posOffset>-281940</wp:posOffset>
            </wp:positionV>
            <wp:extent cx="691515" cy="436245"/>
            <wp:effectExtent l="0" t="0" r="6985" b="825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91515" cy="436245"/>
                    </a:xfrm>
                    <a:prstGeom prst="rect">
                      <a:avLst/>
                    </a:prstGeom>
                    <a:noFill/>
                    <a:ln>
                      <a:noFill/>
                    </a:ln>
                  </pic:spPr>
                </pic:pic>
              </a:graphicData>
            </a:graphic>
          </wp:anchor>
        </w:drawing>
      </w:r>
    </w:p>
    <w:p>
      <w:pPr>
        <w:snapToGrid w:val="0"/>
        <w:spacing w:before="163" w:beforeLines="50" w:line="320" w:lineRule="exact"/>
        <w:ind w:firstLine="600" w:firstLineChars="250"/>
        <w:rPr>
          <w:b/>
          <w:sz w:val="21"/>
        </w:rPr>
      </w:pPr>
      <w:r>
        <w:drawing>
          <wp:anchor distT="0" distB="0" distL="114300" distR="114300" simplePos="0" relativeHeight="251698176" behindDoc="0" locked="0" layoutInCell="1" allowOverlap="1">
            <wp:simplePos x="0" y="0"/>
            <wp:positionH relativeFrom="column">
              <wp:posOffset>1644015</wp:posOffset>
            </wp:positionH>
            <wp:positionV relativeFrom="paragraph">
              <wp:posOffset>15240</wp:posOffset>
            </wp:positionV>
            <wp:extent cx="2235200" cy="590550"/>
            <wp:effectExtent l="0" t="0" r="0" b="635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2235200" cy="590550"/>
                    </a:xfrm>
                    <a:prstGeom prst="rect">
                      <a:avLst/>
                    </a:prstGeom>
                    <a:noFill/>
                    <a:ln>
                      <a:noFill/>
                    </a:ln>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2021.1.31</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2160" w:firstLineChars="900"/>
        <w:rPr>
          <w:b/>
          <w:sz w:val="21"/>
          <w:szCs w:val="21"/>
        </w:rPr>
      </w:pPr>
      <w:r>
        <w:drawing>
          <wp:anchor distT="0" distB="0" distL="114300" distR="114300" simplePos="0" relativeHeight="251738112" behindDoc="0" locked="0" layoutInCell="1" allowOverlap="1">
            <wp:simplePos x="0" y="0"/>
            <wp:positionH relativeFrom="column">
              <wp:posOffset>2254250</wp:posOffset>
            </wp:positionH>
            <wp:positionV relativeFrom="paragraph">
              <wp:posOffset>275590</wp:posOffset>
            </wp:positionV>
            <wp:extent cx="691515" cy="436245"/>
            <wp:effectExtent l="0" t="0" r="6985" b="825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691515" cy="436245"/>
                    </a:xfrm>
                    <a:prstGeom prst="rect">
                      <a:avLst/>
                    </a:prstGeom>
                    <a:noFill/>
                    <a:ln>
                      <a:noFill/>
                    </a:ln>
                  </pic:spPr>
                </pic:pic>
              </a:graphicData>
            </a:graphic>
          </wp:anchor>
        </w:drawing>
      </w: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4"/>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4"/>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06EA223"/>
    <w:multiLevelType w:val="singleLevel"/>
    <w:tmpl w:val="406EA223"/>
    <w:lvl w:ilvl="0" w:tentative="0">
      <w:start w:val="2"/>
      <w:numFmt w:val="decimal"/>
      <w:suff w:val="nothing"/>
      <w:lvlText w:val="%1、"/>
      <w:lvlJc w:val="left"/>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5CEA75A5"/>
    <w:multiLevelType w:val="singleLevel"/>
    <w:tmpl w:val="5CEA75A5"/>
    <w:lvl w:ilvl="0" w:tentative="0">
      <w:start w:val="4"/>
      <w:numFmt w:val="decimal"/>
      <w:suff w:val="space"/>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547037"/>
    <w:rsid w:val="25EE47EF"/>
    <w:rsid w:val="2ACA45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3"/>
        <o:r id="V:Rule2" type="connector" idref="#_x0000_s2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locked/>
    <w:uiPriority w:val="99"/>
    <w:rPr>
      <w:rFonts w:ascii="Times New Roman" w:hAnsi="Times New Roman" w:eastAsia="宋体" w:cs="Times New Roman"/>
      <w:sz w:val="18"/>
      <w:szCs w:val="18"/>
    </w:rPr>
  </w:style>
  <w:style w:type="character" w:customStyle="1" w:styleId="10">
    <w:name w:val="页脚 Char"/>
    <w:link w:val="4"/>
    <w:semiHidden/>
    <w:locked/>
    <w:uiPriority w:val="99"/>
    <w:rPr>
      <w:rFonts w:ascii="Times New Roman" w:hAnsi="Times New Roman" w:eastAsia="宋体" w:cs="Times New Roman"/>
      <w:sz w:val="18"/>
      <w:szCs w:val="18"/>
    </w:rPr>
  </w:style>
  <w:style w:type="character" w:customStyle="1" w:styleId="11">
    <w:name w:val="页眉 Char"/>
    <w:link w:val="5"/>
    <w:locked/>
    <w:uiPriority w:val="0"/>
    <w:rPr>
      <w:sz w:val="18"/>
    </w:rPr>
  </w:style>
  <w:style w:type="character" w:customStyle="1" w:styleId="12">
    <w:name w:val="页眉 Char1"/>
    <w:semiHidden/>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info-content-text"/>
    <w:basedOn w:val="8"/>
    <w:uiPriority w:val="0"/>
  </w:style>
  <w:style w:type="paragraph" w:customStyle="1" w:styleId="16">
    <w:name w:val="列出段落1"/>
    <w:basedOn w:val="1"/>
    <w:qFormat/>
    <w:uiPriority w:val="34"/>
    <w:pPr>
      <w:ind w:firstLine="420" w:firstLineChars="200"/>
    </w:p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TotalTime>
  <ScaleCrop>false</ScaleCrop>
  <LinksUpToDate>false</LinksUpToDate>
  <CharactersWithSpaces>4386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叶子</cp:lastModifiedBy>
  <cp:lastPrinted>2019-04-18T08:15:00Z</cp:lastPrinted>
  <dcterms:modified xsi:type="dcterms:W3CDTF">2021-02-02T11:08:05Z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