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隶书" w:hAnsi="宋体" w:eastAsia="隶书"/>
          <w:bCs/>
          <w:color w:val="000000"/>
          <w:sz w:val="36"/>
          <w:szCs w:val="36"/>
        </w:rPr>
      </w:pPr>
      <w:r>
        <w:ptab w:relativeTo="margin" w:alignment="center" w:leader="none"/>
      </w: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55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过程与活动、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涉及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条款</w:t>
            </w:r>
          </w:p>
        </w:tc>
        <w:tc>
          <w:tcPr>
            <w:tcW w:w="10755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受审核部门：运营部  主管领导： 朱洪伟   陪同人员：李洋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55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审核员：李京田 </w:t>
            </w:r>
            <w:r>
              <w:rPr>
                <w:sz w:val="24"/>
                <w:szCs w:val="24"/>
              </w:rPr>
              <w:t>冯雪峥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审核时间：202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1.1.29</w:t>
            </w:r>
          </w:p>
        </w:tc>
        <w:tc>
          <w:tcPr>
            <w:tcW w:w="83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55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</w:tc>
        <w:tc>
          <w:tcPr>
            <w:tcW w:w="83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组织的岗位、职责权限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QES5.3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55" w:type="dxa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运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 xml:space="preserve">营部负责人：朱洪伟  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负责安全阀、液压蓄能器、减压阀的维修调试服务，及工艺文件的制作及修改；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负责维修加工设备的维护；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负责产品质量的控制；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负责本部门环境安全因素的识别；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负责维修调试过程环境、安全控制。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部门人员能够清楚自己部门的职责，沟通顺畅。</w:t>
            </w:r>
          </w:p>
        </w:tc>
        <w:tc>
          <w:tcPr>
            <w:tcW w:w="83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目标和方案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QES6.2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55" w:type="dxa"/>
          </w:tcPr>
          <w:p>
            <w:pPr>
              <w:spacing w:line="360" w:lineRule="auto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执行《管理手册》及《方针目标管理制度》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部门目标：                        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服务质量检查执行率100％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调试服务一次交付合格率98%以上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固体废弃物100%分类集中处理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环境污染事故为0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火灾事故0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提供有目标完成情况统计表，目标完成，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提供有管理方案，方案可行。</w:t>
            </w:r>
          </w:p>
        </w:tc>
        <w:tc>
          <w:tcPr>
            <w:tcW w:w="83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环境因素、危险源识别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ES6.1.2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55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编制了《环境因素的识别与评价控制程序》、《危险源辩识、风险评价和风险控制策划程序》符合标准要求.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提供的“环境因素识别评价表”“重要环境因素清单”， 评价考虑了三种时态现在、过去、将来、三种状态、异常、正常、紧急考虑了法律法规，并进行了评价，服务过程，用打分法考虑了法规符合性、发生频次、影响范围等, 通过定性判断法，共识别出重大环境因素3项：固废排放、火灾、噪声，评价符合程序要求及公司的实际情况。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提供的：“危险源识别与风险评价表”、“不可接受风险源清单”， 评价考虑了将来、状态、可能导致的事件，并进行了评价，用打分法考虑了法规符合性、发生频次、影响范围等, 通过是非法，本部门识别的各区域危险源有：触电、意外伤害、职业病、火灾、机械伤害等。不可接受风险识别有：火灾、意外伤害、触电。评价符合程序要求及公司的实际情况。对危险源的控制措施包括制定管理制度、监督检查、应急预案、培训等。</w:t>
            </w:r>
          </w:p>
        </w:tc>
        <w:tc>
          <w:tcPr>
            <w:tcW w:w="83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基础设施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Q7.1.3</w:t>
            </w:r>
          </w:p>
        </w:tc>
        <w:tc>
          <w:tcPr>
            <w:tcW w:w="10755" w:type="dxa"/>
            <w:vAlign w:val="center"/>
          </w:tcPr>
          <w:p>
            <w:pPr>
              <w:spacing w:line="3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提供了《设备台帐》</w:t>
            </w:r>
          </w:p>
          <w:p>
            <w:pPr>
              <w:spacing w:line="360" w:lineRule="auto"/>
              <w:ind w:left="840" w:leftChars="100" w:hanging="630" w:hanging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显示配置的设备有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充氮车、手动试压泵、充氮工具、安全阀固定效验台、工具箱</w:t>
            </w:r>
            <w:r>
              <w:rPr>
                <w:rFonts w:hint="eastAsia"/>
                <w:szCs w:val="21"/>
              </w:rPr>
              <w:t>等。</w:t>
            </w:r>
          </w:p>
          <w:p>
            <w:pPr>
              <w:pStyle w:val="1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安全环保设施有：灭火器、垃圾桶、消防栓</w:t>
            </w:r>
          </w:p>
          <w:p>
            <w:pPr>
              <w:spacing w:line="3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有设备维护保养要求，明确了维护保养产品、周期等。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监视和测量资源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Q7.1.5</w:t>
            </w:r>
          </w:p>
        </w:tc>
        <w:tc>
          <w:tcPr>
            <w:tcW w:w="10755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公司在《监视和测量设备管理程序》中进行了明确的规定，对检定的结果进行记录。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公司提供《监视和测量设备台帐》，主要有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压力表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，检定/校准周期为1年。</w:t>
            </w:r>
          </w:p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提供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压力表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监测设备检定合格的证据共1张校准证书，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压力表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，提供有检验报告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，见附件</w:t>
            </w:r>
          </w:p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一阶段不符合，已经整改完毕</w:t>
            </w:r>
          </w:p>
        </w:tc>
        <w:tc>
          <w:tcPr>
            <w:tcW w:w="834" w:type="dxa"/>
          </w:tcPr>
          <w:p>
            <w:pPr>
              <w:rPr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运行策划和控制</w:t>
            </w:r>
          </w:p>
          <w:p>
            <w:pPr>
              <w:pStyle w:val="2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维修过程控制</w:t>
            </w:r>
          </w:p>
          <w:p>
            <w:pPr>
              <w:pStyle w:val="2"/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产品的放行</w:t>
            </w:r>
          </w:p>
          <w:p>
            <w:pPr>
              <w:pStyle w:val="2"/>
              <w:rPr>
                <w:rFonts w:hint="default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Q8.1</w:t>
            </w:r>
          </w:p>
          <w:p>
            <w:pPr>
              <w:pStyle w:val="2"/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Q8.5.1</w:t>
            </w:r>
          </w:p>
          <w:p>
            <w:pPr>
              <w:pStyle w:val="2"/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Q8.6</w:t>
            </w:r>
          </w:p>
          <w:p>
            <w:pPr>
              <w:pStyle w:val="2"/>
              <w:rPr>
                <w:rFonts w:hint="default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55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范围： </w:t>
            </w:r>
            <w:r>
              <w:rPr>
                <w:sz w:val="20"/>
              </w:rPr>
              <w:t>安全阀、液压蓄能器、减压阀的维修调试服务</w:t>
            </w:r>
          </w:p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1、提供有管理目标：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服务质量检查执行率100％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调试服务一次交付合格率98%以上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固体废弃物100%分类集中处理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环境污染事故为0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火灾事故0</w:t>
            </w:r>
          </w:p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安全事故为0                 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2.提供了《合同评审控制程序》、《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维修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作业指导书》对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维修调试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的产品、项目和合同应进行质量策划。质量目标已达到顾客要求；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执行标准：</w:t>
            </w:r>
          </w:p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CB/T 3021-2013</w:t>
            </w:r>
            <w:r>
              <w:rPr>
                <w:rFonts w:hint="eastAsia"/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</w:rPr>
              <w:t xml:space="preserve"> 安全阀技术要求和性能试验方法</w:t>
            </w:r>
            <w:r>
              <w:rPr>
                <w:rFonts w:hint="eastAsia"/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</w:rPr>
              <w:t>工业和信息化部</w:t>
            </w:r>
            <w:r>
              <w:rPr>
                <w:rFonts w:hint="eastAsia"/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</w:rPr>
              <w:t>2013-12-01</w:t>
            </w:r>
            <w:r>
              <w:rPr>
                <w:rFonts w:hint="eastAsia"/>
                <w:color w:val="000000" w:themeColor="text1"/>
              </w:rPr>
              <w:tab/>
            </w:r>
          </w:p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 xml:space="preserve">   GB/T 12241-2005</w:t>
            </w:r>
            <w:r>
              <w:rPr>
                <w:rFonts w:hint="eastAsia"/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</w:rPr>
              <w:t xml:space="preserve"> 安全阀 一般要求</w:t>
            </w:r>
            <w:r>
              <w:rPr>
                <w:rFonts w:hint="eastAsia"/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</w:rPr>
              <w:t>国家质量监督检验检疫.</w:t>
            </w:r>
            <w:r>
              <w:rPr>
                <w:rFonts w:hint="eastAsia"/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</w:rPr>
              <w:t>2005-08-01</w:t>
            </w:r>
            <w:r>
              <w:rPr>
                <w:rFonts w:hint="eastAsia"/>
                <w:color w:val="000000" w:themeColor="text1"/>
              </w:rPr>
              <w:tab/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GB/T 12242-2005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压力释放装置 性能试验规范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国家质量监督检验检疫.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2005-08-01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GB/T 12243-2005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弹簧直接载荷式安全阀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国家质量监督检验检疫.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2005-08-01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GB/T 22342-2008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石油天然气工业 井下安全阀系统 设计、安装、操作和维护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国家标准化管理委员.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2009-03-01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GB/T 28259-2012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石油天然气工业 井下设备 井下安全阀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国家质量监督检验检疫.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2012-07-01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HG/T 20570.2-1995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安全阀的设置和选用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1996-03-01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GB/T 12244-2006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减压阀 一般要求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中国机械工业联合会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2007-05-01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GB/T 12245-2006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减压阀 性能试验方法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国家质量监督检验检疫.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2007-05-01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JB/T 2205-2013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减压阀 结构长度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工业和信息化部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2013-09-01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HG/T 2331-1992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液压隔离式蓄能器用胶囊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1992-07-01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JB/T 7034-2006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液压隔膜式蓄能器 型式和尺寸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国家发展和改革委员会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2007-02-01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JB/T 7035-2006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液压囊式蓄能器 型式和尺寸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国家发展和改革委员会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2007-02-01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JB/T 7036-2006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液压隔离式蓄能器 技术条件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国家发展和改革委员会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2007-02-01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JB/T 7037-2006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液压隔离式蓄能器 试验方法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国家发展和改革委员会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2007-02-01</w:t>
            </w:r>
            <w:r>
              <w:rPr>
                <w:rFonts w:hint="eastAsia"/>
              </w:rPr>
              <w:tab/>
            </w: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 JB/T 7038-2006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液压隔离式蓄能器 壳体 技术条件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国家发展和改革委员会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2007-02-01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产品流程：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安全阀、减压阀检修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调试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流程：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签订合同-安全阀检查（密封锈蚀、阀芯锈死、零部件损坏等）-更换-调试-检验-验收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液压蓄能器检修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调试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流程：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签订合同-液压蓄能器检查（压力容器、皮囊、防挤压环、密封垫、蓄能器充氮、其他零件损坏等）-更换-调试-检验-验收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关键过程有：维修过程   需要确认过程：蓄能器充氮过程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4为实现产品质量目标配置了相应人员（如办公行政人员、 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维修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组装人员、销售服务人员等)，</w:t>
            </w:r>
          </w:p>
          <w:p>
            <w:pPr>
              <w:spacing w:line="360" w:lineRule="auto"/>
              <w:ind w:left="930" w:leftChars="100" w:hanging="720" w:hangingChars="3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维修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设施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充氮车、手动试压泵、充氮工具、安全阀固定效验台、工具箱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办公设施：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(如电脑、打印机、传真机等），可满足现经营要求；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5编制了相应的作业文件：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维修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管理规范、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作业指导书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、合同评审、服务规范等各阶段，规定了服务的要求（其中包含了标准要求的记录）。</w:t>
            </w:r>
          </w:p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6服务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准则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:销售管理规程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销售合同、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相关标准、用户要求等进行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接收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，以保证交付的产品满足要求。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7.记录：策划有委销售合同、内部审核检查表、首末次会议记录、销售特殊过程确认记录、合同评审记录录等，基本满足产品实现需要。</w:t>
            </w:r>
          </w:p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8、提供有维修记录、过程控制记录、验收记录等，二阶段细查</w:t>
            </w:r>
            <w:bookmarkStart w:id="0" w:name="_GoBack"/>
            <w:bookmarkEnd w:id="0"/>
          </w:p>
        </w:tc>
        <w:tc>
          <w:tcPr>
            <w:tcW w:w="83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合同评审、客户沟通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Q8.2</w:t>
            </w:r>
          </w:p>
        </w:tc>
        <w:tc>
          <w:tcPr>
            <w:tcW w:w="10755" w:type="dxa"/>
            <w:noWrap w:val="0"/>
            <w:vAlign w:val="top"/>
          </w:tcPr>
          <w:p>
            <w:pPr>
              <w:pStyle w:val="10"/>
              <w:ind w:firstLine="46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负责人介绍沟通方式主要是电话、传真、资料传递、公司网站、广告等形式宣传本公司有关产品及公司的有关信誉等。针对合同洽谈、签订、履行过程中的问题，及时电话联系，明确各自的要求，执行合同。目前沟通效果良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</w:pPr>
            <w:r>
              <w:rPr>
                <w:rFonts w:hint="eastAsia"/>
              </w:rPr>
              <w:t>主要业务以招标文件、订单、合同、电话、邮件、传真等形式确定与产品有关的要求，均已保存或进行相应的记录。对顾客的要求由销售部办公人员直接对顾客要求进行识别、确认，对于存在的问题直接提出和顾客进行交流沟通，在合同签订前在公司微信群内对合同的要求进行评审。</w:t>
            </w:r>
          </w:p>
          <w:p>
            <w:pPr>
              <w:pStyle w:val="16"/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提供有合同台账、评审记录、销售合同等，二阶段查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设计开发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Q8.3</w:t>
            </w:r>
          </w:p>
        </w:tc>
        <w:tc>
          <w:tcPr>
            <w:tcW w:w="10755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不适用，不适用理由： 因该公司的安全阀、液压蓄能器、减压阀的维修调试服务 ，按照顾客的要求及标准进行，该条款的不适用,不影响组织确保其产品和服务合格的能力和责任，也不会对增强顾客满意产生影响。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外部提供的过程，产品和服务的控制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8.4</w:t>
            </w:r>
          </w:p>
        </w:tc>
        <w:tc>
          <w:tcPr>
            <w:tcW w:w="10755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制定了《采购管理控制程序》，规定了对外部供方的评价、选择、绩效监视以及再评价的准则，规定了按照对提供不同的产品/服务/过程的外部供方控制类型和程度。 内容符合标准要求。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微信提供有《合格供方名单》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、供方评价记录、采购计划、采购合同、采购验收等记录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Align w:val="center"/>
          </w:tcPr>
          <w:p>
            <w:pPr>
              <w:pStyle w:val="10"/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>
            <w:pPr>
              <w:pStyle w:val="10"/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Q</w:t>
            </w:r>
            <w:r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 xml:space="preserve">8.7 </w:t>
            </w:r>
          </w:p>
        </w:tc>
        <w:tc>
          <w:tcPr>
            <w:tcW w:w="10755" w:type="dxa"/>
            <w:vAlign w:val="center"/>
          </w:tcPr>
          <w:p>
            <w:pPr>
              <w:pStyle w:val="10"/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编制《不合格品控制程序》，其规定了不合格品的识别、隔离、标识、评审及处置方面的要求。</w:t>
            </w:r>
          </w:p>
          <w:p>
            <w:pPr>
              <w:pStyle w:val="10"/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在产品进货检验中出现的不合格可进行退货处理，在产品交付后出现不合格可进行换货或退货处理。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目前没有发生不合格的情况。</w:t>
            </w:r>
          </w:p>
        </w:tc>
        <w:tc>
          <w:tcPr>
            <w:tcW w:w="834" w:type="dxa"/>
          </w:tcPr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pStyle w:val="10"/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顾客满意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Q9.1.2</w:t>
            </w:r>
          </w:p>
        </w:tc>
        <w:tc>
          <w:tcPr>
            <w:tcW w:w="10755" w:type="dxa"/>
            <w:vAlign w:val="center"/>
          </w:tcPr>
          <w:p>
            <w:pPr>
              <w:pStyle w:val="10"/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zh-CN" w:eastAsia="zh-CN" w:bidi="ar-SA"/>
              </w:rPr>
              <w:t>公司通过电话，走访等形式，接受顾客反馈，了解顾客顾客满意度信息，发放调查表对顾客满意度进行定量测量。</w:t>
            </w:r>
          </w:p>
          <w:p>
            <w:pPr>
              <w:pStyle w:val="10"/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zh-CN" w:eastAsia="zh-CN" w:bidi="ar-SA"/>
              </w:rPr>
              <w:t>提供“顾客满意程度调查表”，调查2家企业进行满意度调查等。</w:t>
            </w:r>
          </w:p>
          <w:p>
            <w:pPr>
              <w:pStyle w:val="10"/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调查分析：</w:t>
            </w:r>
          </w:p>
          <w:p>
            <w:pPr>
              <w:pStyle w:val="10"/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经统计顾客满意度为9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分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834" w:type="dxa"/>
          </w:tcPr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运行控制</w:t>
            </w:r>
          </w:p>
        </w:tc>
        <w:tc>
          <w:tcPr>
            <w:tcW w:w="960" w:type="dxa"/>
            <w:vAlign w:val="center"/>
          </w:tcPr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E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S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8.1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0755" w:type="dxa"/>
            <w:vAlign w:val="center"/>
          </w:tcPr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本部门应执行的运行控制文件包括：环境管理控制程序、职业健康控制程序、固体废弃物管理规定、对相关方施加影响管理规定、节能降耗管理规定、消防安全管理制度、办公室安全管理制度、车辆管理规定、电脑使用管理办法、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维修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服务人员工作规范等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运行控制情况：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办公室区域：污水：不涉及污水，没有污水排放。</w:t>
            </w:r>
          </w:p>
          <w:p>
            <w:pPr>
              <w:pStyle w:val="10"/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噪声：办公现场不产生明显噪声，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维修临时场所维修金属敲击产生的噪音，为正常生产可接受噪声，同时，工人在进入维修场所佩戴耳塞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固废：固体废物主要是办公产生废纸张等，配置了纸篓；办公用纸由办公室负责，复印、打印耗材都有办公室统一负责，集中处置。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触电：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办公过程注意节约用电，做到人走灯灭，电脑长时间不用时关机，下班前要关闭电源，防止触电。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办公区域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，现场查看办公区域环境整洁、宽敞、办公设备状态良好、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工作时间平均每天不超过8小时。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现场查看办公区域配备符合要求的消防设施。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现场查看办公区域，整洁、光线充足、室内空气良好、配置有空调，办公条件较好，办公设备安全状态良好，教育员工正确使用办公设备，现场用电基本规范，无乱拉线现象，防止火灾发生。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9、相关方施加影响：公司能够控制或能够施加影响的相关方有顾客等。提供了“致相关方的公开信”，将公司的环境/安全控制要求发放到了所有相关方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运输公司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\供应商\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外来员工等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10、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意外伤害：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驾驶员要求遵守道路交通安全法规，不违章驾车，驾驶证和车辆定期年审，确保行车安全。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12、对员工进行体检、上工伤保险，见附件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13.高温中暑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公司向员工提供防暑降温的食品和药品，综合部有专人负责该工作，没有发生过高温中暑的情况。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14.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受相关方施加影响： 组织对进入场所内的供方送货员、求职及培训人员视情况由安保人员或受访人提醒、签定安全协议等方式，告知相关遵守相应的运行准则，以防止外来人员受到人身伤害或职业健康安危害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15、新冠疫情期间，组织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策划了《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疫情防控应急工作预案》，对疫情期间的疫情防控物资的发放、人员的管控、每日的人员体温检测、环境的消毒等进行了策划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临时维修场所运行情况：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交底：维修人员今天维修场所需进行培训及维修技术问题、安全问题交底。</w:t>
            </w:r>
          </w:p>
          <w:p>
            <w:pPr>
              <w:pStyle w:val="10"/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废水管控：主要为生活污水，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维修不产生废水</w:t>
            </w:r>
          </w:p>
          <w:p>
            <w:pPr>
              <w:pStyle w:val="10"/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废气管控：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维修不产生废气。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噪声管控：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维修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过程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的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辅助设备选用了低噪声的设备和工具，做好基础减震，同时加强设备的检查和维保，确保机械设备在正常工况下运行。</w:t>
            </w:r>
          </w:p>
          <w:p>
            <w:pPr>
              <w:pStyle w:val="10"/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固废管控：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维修现场的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主要包装材料等，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由客户统一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出售有废品回收单位再利用；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资、能源管控：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维修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过程注意节水、节电、节油，人走关闭开关，现场未发现有漏水和浪费电能的现象。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产品周期的环境管控：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公司从采用产品时已考虑了产品的环保性（包括其包装），生产过程中，严格按照环保等管理制度实施，控制好辅助材料的计量，避免浪费。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潜在火灾管控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维修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场配有消防栓、不同规格灭火器。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职业健康安全管控：公司给员工发放工作服、口罩等劳保用品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给员工体检，见体检报告，附件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为主要长期员工上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保险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，见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保险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 xml:space="preserve">缴费记录，见附件 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按有关程序和要求通报供方和顾客，采用〈告知函〉方式通报。查到相关方告知书。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现场运行控制基本有效</w:t>
            </w:r>
          </w:p>
        </w:tc>
        <w:tc>
          <w:tcPr>
            <w:tcW w:w="834" w:type="dxa"/>
          </w:tcPr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60" w:type="dxa"/>
            <w:vAlign w:val="center"/>
          </w:tcPr>
          <w:p>
            <w:pPr>
              <w:pStyle w:val="10"/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E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S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8.2</w:t>
            </w:r>
          </w:p>
          <w:p>
            <w:pPr>
              <w:pStyle w:val="10"/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0755" w:type="dxa"/>
            <w:vAlign w:val="center"/>
          </w:tcPr>
          <w:p>
            <w:pPr>
              <w:pStyle w:val="10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</w:pPr>
          </w:p>
          <w:p>
            <w:pPr>
              <w:pStyle w:val="10"/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运营部参与公司组织的应急预案及演练活动，具体审核见综合部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E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S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GB" w:eastAsia="zh-CN" w:bidi="ar-SA"/>
              </w:rPr>
              <w:t>8.2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审核记录</w:t>
            </w:r>
          </w:p>
          <w:p>
            <w:pPr>
              <w:pStyle w:val="10"/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不符合和纠正措施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事件调查、不符合、纠正措施和预防措施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0755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企业通过过程的监视和测量、绩效考核、内审、管理评审等方式和机制，确保质量管理制度有效执行。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企业经过策划，采用对产品的监视和测量，对不合格品控制等来证实产品的符合性。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制定《不符合控制程序》、《事件报告、调查与处理程序》、《改进控制程序》等，通过分析实际存在的或潜在的不符合的原因，制定纠正和预防措施，并验证其效果，以防止不符合的发生／再发生，实现持续改进绩效的目的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对内审中的不符合，采取了纠正措施，并验证； 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为保证公司职业健康安全管理体系的有效运行，通过对安全事件的调查处理，以确保管理体系运行的有效性。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经查在公司正常经营活动中，出现了轻微不符合，部门已经采取纠正和纠正措施，经验证纠正措施有效。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公司研发及销售活动未发生过环境、安全等事故。</w:t>
            </w:r>
          </w:p>
          <w:p>
            <w:pPr>
              <w:pStyle w:val="10"/>
              <w:rPr>
                <w:rFonts w:hint="eastAsia"/>
                <w:bCs w:val="0"/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bCs w:val="0"/>
                <w:spacing w:val="0"/>
                <w:sz w:val="24"/>
                <w:szCs w:val="24"/>
              </w:rPr>
              <w:t>查持续改进：</w:t>
            </w:r>
          </w:p>
          <w:p>
            <w:pPr>
              <w:pStyle w:val="10"/>
              <w:ind w:firstLine="480" w:firstLineChars="200"/>
              <w:rPr>
                <w:rFonts w:hint="eastAsia"/>
                <w:bCs w:val="0"/>
                <w:spacing w:val="0"/>
                <w:sz w:val="24"/>
                <w:szCs w:val="24"/>
              </w:rPr>
            </w:pPr>
            <w:r>
              <w:rPr>
                <w:rFonts w:hint="eastAsia"/>
                <w:bCs w:val="0"/>
                <w:spacing w:val="0"/>
                <w:sz w:val="24"/>
                <w:szCs w:val="24"/>
              </w:rPr>
              <w:t>a. 通过管理体系运行，管理方针、目标的实施，内审、管理评审进行持续改进；</w:t>
            </w:r>
          </w:p>
          <w:p>
            <w:pPr>
              <w:pStyle w:val="10"/>
              <w:ind w:firstLine="480" w:firstLineChars="200"/>
              <w:rPr>
                <w:rFonts w:hint="eastAsia"/>
                <w:bCs w:val="0"/>
                <w:spacing w:val="0"/>
                <w:sz w:val="24"/>
                <w:szCs w:val="24"/>
              </w:rPr>
            </w:pPr>
            <w:r>
              <w:rPr>
                <w:rFonts w:hint="eastAsia"/>
                <w:bCs w:val="0"/>
                <w:spacing w:val="0"/>
                <w:sz w:val="24"/>
                <w:szCs w:val="24"/>
              </w:rPr>
              <w:t>b. 通过数据分析、纠正、预防措施实施达到持续改进；</w:t>
            </w:r>
          </w:p>
          <w:p>
            <w:pPr>
              <w:pStyle w:val="10"/>
              <w:ind w:firstLine="480" w:firstLineChars="200"/>
              <w:rPr>
                <w:rFonts w:hint="eastAsia"/>
                <w:bCs w:val="0"/>
                <w:spacing w:val="0"/>
                <w:sz w:val="24"/>
                <w:szCs w:val="24"/>
              </w:rPr>
            </w:pPr>
            <w:r>
              <w:rPr>
                <w:rFonts w:hint="eastAsia"/>
                <w:bCs w:val="0"/>
                <w:spacing w:val="0"/>
                <w:sz w:val="24"/>
                <w:szCs w:val="24"/>
              </w:rPr>
              <w:t>c. 通过顾客满意度调查，改进、提高产品质量，满足顾客需求，达到持续改进的目的。</w:t>
            </w:r>
          </w:p>
          <w:p>
            <w:pPr>
              <w:pStyle w:val="10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bCs w:val="0"/>
                <w:spacing w:val="0"/>
                <w:sz w:val="24"/>
                <w:szCs w:val="24"/>
              </w:rPr>
              <w:t>管理评审提出改进措施正在实施过程中。</w:t>
            </w:r>
          </w:p>
        </w:tc>
        <w:tc>
          <w:tcPr>
            <w:tcW w:w="834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pStyle w:val="10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</w:rPr>
      <w:t xml:space="preserve">        </w:t>
    </w:r>
    <w:r>
      <w:rPr>
        <w:rStyle w:val="14"/>
        <w:rFonts w:hint="default"/>
        <w:w w:val="90"/>
      </w:rPr>
      <w:t>Beijing International Standard united Certification Co.,Ltd.</w:t>
    </w:r>
    <w:r>
      <w:rPr>
        <w:rStyle w:val="14"/>
        <w:rFonts w:hint="default"/>
        <w:w w:val="90"/>
        <w:szCs w:val="21"/>
      </w:rPr>
      <w:t xml:space="preserve">  </w:t>
    </w:r>
    <w:r>
      <w:rPr>
        <w:rStyle w:val="14"/>
        <w:rFonts w:hint="default"/>
        <w:w w:val="90"/>
        <w:sz w:val="20"/>
      </w:rPr>
      <w:t xml:space="preserve"> </w:t>
    </w:r>
    <w:r>
      <w:rPr>
        <w:rStyle w:val="14"/>
        <w:rFonts w:hint="default"/>
        <w:w w:val="90"/>
      </w:rPr>
      <w:t xml:space="preserve">                   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1A2D7F"/>
    <w:rsid w:val="00337922"/>
    <w:rsid w:val="00340867"/>
    <w:rsid w:val="00380837"/>
    <w:rsid w:val="003A198A"/>
    <w:rsid w:val="00410914"/>
    <w:rsid w:val="00536930"/>
    <w:rsid w:val="00564E53"/>
    <w:rsid w:val="00644FE2"/>
    <w:rsid w:val="0067640C"/>
    <w:rsid w:val="006E678B"/>
    <w:rsid w:val="007757F3"/>
    <w:rsid w:val="007E6AEB"/>
    <w:rsid w:val="008973EE"/>
    <w:rsid w:val="00971600"/>
    <w:rsid w:val="009973B4"/>
    <w:rsid w:val="009C28C1"/>
    <w:rsid w:val="009F7EED"/>
    <w:rsid w:val="00AF0AAB"/>
    <w:rsid w:val="00BF597E"/>
    <w:rsid w:val="00C51A36"/>
    <w:rsid w:val="00C55228"/>
    <w:rsid w:val="00CE315A"/>
    <w:rsid w:val="00D06F59"/>
    <w:rsid w:val="00D8388C"/>
    <w:rsid w:val="00EB0164"/>
    <w:rsid w:val="00ED0F62"/>
    <w:rsid w:val="02561596"/>
    <w:rsid w:val="02905FAB"/>
    <w:rsid w:val="03056749"/>
    <w:rsid w:val="03516B68"/>
    <w:rsid w:val="05072AD8"/>
    <w:rsid w:val="05301C9E"/>
    <w:rsid w:val="059A554E"/>
    <w:rsid w:val="075B691E"/>
    <w:rsid w:val="077424A2"/>
    <w:rsid w:val="07D05C90"/>
    <w:rsid w:val="08AB2D38"/>
    <w:rsid w:val="08B35B8F"/>
    <w:rsid w:val="0A01787C"/>
    <w:rsid w:val="0A733822"/>
    <w:rsid w:val="0A76049B"/>
    <w:rsid w:val="0AC85814"/>
    <w:rsid w:val="0ACF24C8"/>
    <w:rsid w:val="0BC016C1"/>
    <w:rsid w:val="0BEF1E11"/>
    <w:rsid w:val="0D822467"/>
    <w:rsid w:val="0DB53049"/>
    <w:rsid w:val="0EB70AFB"/>
    <w:rsid w:val="0EE47261"/>
    <w:rsid w:val="0F016E6A"/>
    <w:rsid w:val="0F4C3CF6"/>
    <w:rsid w:val="0F7A3E4E"/>
    <w:rsid w:val="108219C2"/>
    <w:rsid w:val="11027F34"/>
    <w:rsid w:val="111E0625"/>
    <w:rsid w:val="11612D9B"/>
    <w:rsid w:val="1178096B"/>
    <w:rsid w:val="117E03E3"/>
    <w:rsid w:val="11DD2155"/>
    <w:rsid w:val="1281369B"/>
    <w:rsid w:val="137C4892"/>
    <w:rsid w:val="143B3242"/>
    <w:rsid w:val="14E704E5"/>
    <w:rsid w:val="14EF4369"/>
    <w:rsid w:val="1506722E"/>
    <w:rsid w:val="156B5C0B"/>
    <w:rsid w:val="15F242B8"/>
    <w:rsid w:val="16920113"/>
    <w:rsid w:val="17905CED"/>
    <w:rsid w:val="18314AE8"/>
    <w:rsid w:val="189B757B"/>
    <w:rsid w:val="1A3D625A"/>
    <w:rsid w:val="1AE63B2D"/>
    <w:rsid w:val="1D8955CB"/>
    <w:rsid w:val="1DA61E0F"/>
    <w:rsid w:val="1DD02468"/>
    <w:rsid w:val="1E4B58A2"/>
    <w:rsid w:val="1F7B12A5"/>
    <w:rsid w:val="1F8F7BF5"/>
    <w:rsid w:val="202A1006"/>
    <w:rsid w:val="20835883"/>
    <w:rsid w:val="20967C3A"/>
    <w:rsid w:val="22C86ECF"/>
    <w:rsid w:val="23250882"/>
    <w:rsid w:val="23277943"/>
    <w:rsid w:val="23C546A2"/>
    <w:rsid w:val="24105D3D"/>
    <w:rsid w:val="24402D36"/>
    <w:rsid w:val="24975D3F"/>
    <w:rsid w:val="24A15322"/>
    <w:rsid w:val="254501C0"/>
    <w:rsid w:val="26B62FAA"/>
    <w:rsid w:val="26E84B39"/>
    <w:rsid w:val="2924107C"/>
    <w:rsid w:val="29F41280"/>
    <w:rsid w:val="29F5053A"/>
    <w:rsid w:val="2A877CA2"/>
    <w:rsid w:val="2AF56B7B"/>
    <w:rsid w:val="2B986BF5"/>
    <w:rsid w:val="2BFD7FEA"/>
    <w:rsid w:val="2C154BC2"/>
    <w:rsid w:val="2C2758D3"/>
    <w:rsid w:val="2C7350E0"/>
    <w:rsid w:val="2D6D7819"/>
    <w:rsid w:val="2F955013"/>
    <w:rsid w:val="2FEA2951"/>
    <w:rsid w:val="2FEA3FBD"/>
    <w:rsid w:val="30041147"/>
    <w:rsid w:val="30B21281"/>
    <w:rsid w:val="32445E5A"/>
    <w:rsid w:val="334D0890"/>
    <w:rsid w:val="33D27330"/>
    <w:rsid w:val="34161972"/>
    <w:rsid w:val="341D4CD5"/>
    <w:rsid w:val="34327602"/>
    <w:rsid w:val="34A61CC3"/>
    <w:rsid w:val="35A805DB"/>
    <w:rsid w:val="35C624D3"/>
    <w:rsid w:val="35CF78E9"/>
    <w:rsid w:val="37BA7AD7"/>
    <w:rsid w:val="38277DAF"/>
    <w:rsid w:val="38E16C80"/>
    <w:rsid w:val="39DF6321"/>
    <w:rsid w:val="3A3A0D76"/>
    <w:rsid w:val="3A4A193A"/>
    <w:rsid w:val="3A61549C"/>
    <w:rsid w:val="3C0321CA"/>
    <w:rsid w:val="3C060909"/>
    <w:rsid w:val="3C064FC9"/>
    <w:rsid w:val="3C3914DF"/>
    <w:rsid w:val="3C572BF9"/>
    <w:rsid w:val="3CE267FD"/>
    <w:rsid w:val="3D811CCF"/>
    <w:rsid w:val="3DBC0C92"/>
    <w:rsid w:val="3E3E6E6C"/>
    <w:rsid w:val="3E842275"/>
    <w:rsid w:val="3E931B78"/>
    <w:rsid w:val="3ED67659"/>
    <w:rsid w:val="3F682ADC"/>
    <w:rsid w:val="3F820939"/>
    <w:rsid w:val="3FD22E54"/>
    <w:rsid w:val="3FE32053"/>
    <w:rsid w:val="417D2A96"/>
    <w:rsid w:val="41BA7498"/>
    <w:rsid w:val="4273217E"/>
    <w:rsid w:val="428C2F2E"/>
    <w:rsid w:val="44090091"/>
    <w:rsid w:val="4431700D"/>
    <w:rsid w:val="44512A1B"/>
    <w:rsid w:val="44926B19"/>
    <w:rsid w:val="457621F3"/>
    <w:rsid w:val="45794131"/>
    <w:rsid w:val="45DD462C"/>
    <w:rsid w:val="46A07FE7"/>
    <w:rsid w:val="46BC3555"/>
    <w:rsid w:val="480D2A22"/>
    <w:rsid w:val="48427D12"/>
    <w:rsid w:val="49991B7D"/>
    <w:rsid w:val="4A5D6C22"/>
    <w:rsid w:val="4DB546F4"/>
    <w:rsid w:val="4E012630"/>
    <w:rsid w:val="4E650BB7"/>
    <w:rsid w:val="4E6B7EC1"/>
    <w:rsid w:val="4E8F65FF"/>
    <w:rsid w:val="4F064E15"/>
    <w:rsid w:val="4F6C2A52"/>
    <w:rsid w:val="4FA83182"/>
    <w:rsid w:val="4FCE1167"/>
    <w:rsid w:val="500E60D8"/>
    <w:rsid w:val="51AB1A03"/>
    <w:rsid w:val="5359055D"/>
    <w:rsid w:val="54A26B7B"/>
    <w:rsid w:val="54F02029"/>
    <w:rsid w:val="54F07714"/>
    <w:rsid w:val="56FF3E18"/>
    <w:rsid w:val="58CC3B54"/>
    <w:rsid w:val="58DF76EE"/>
    <w:rsid w:val="594A480D"/>
    <w:rsid w:val="59594A08"/>
    <w:rsid w:val="59A239D8"/>
    <w:rsid w:val="5ACA278D"/>
    <w:rsid w:val="5B5803AC"/>
    <w:rsid w:val="5BD821FD"/>
    <w:rsid w:val="5C011ECB"/>
    <w:rsid w:val="5C84782F"/>
    <w:rsid w:val="5CF039B6"/>
    <w:rsid w:val="5D420DB6"/>
    <w:rsid w:val="5D435A95"/>
    <w:rsid w:val="5DB2354F"/>
    <w:rsid w:val="5E1A09D3"/>
    <w:rsid w:val="5EA12B9A"/>
    <w:rsid w:val="5F232846"/>
    <w:rsid w:val="5F4B7C0E"/>
    <w:rsid w:val="6055140D"/>
    <w:rsid w:val="605B0C85"/>
    <w:rsid w:val="609F2885"/>
    <w:rsid w:val="615D250D"/>
    <w:rsid w:val="61D520F5"/>
    <w:rsid w:val="637B1FF1"/>
    <w:rsid w:val="63AD0BBC"/>
    <w:rsid w:val="63C56010"/>
    <w:rsid w:val="64727826"/>
    <w:rsid w:val="652F3FB0"/>
    <w:rsid w:val="65412805"/>
    <w:rsid w:val="655A5DA5"/>
    <w:rsid w:val="658B36F7"/>
    <w:rsid w:val="66091A20"/>
    <w:rsid w:val="662C5448"/>
    <w:rsid w:val="66AB551F"/>
    <w:rsid w:val="66B50C1D"/>
    <w:rsid w:val="671C7835"/>
    <w:rsid w:val="67415E27"/>
    <w:rsid w:val="679B349D"/>
    <w:rsid w:val="67CD07F7"/>
    <w:rsid w:val="68645E27"/>
    <w:rsid w:val="68673177"/>
    <w:rsid w:val="694458CE"/>
    <w:rsid w:val="6A4C600A"/>
    <w:rsid w:val="6A7C2D67"/>
    <w:rsid w:val="6B8365B5"/>
    <w:rsid w:val="6BCD78EA"/>
    <w:rsid w:val="6BFC0F3A"/>
    <w:rsid w:val="6C5D5CAD"/>
    <w:rsid w:val="6CA562AE"/>
    <w:rsid w:val="6D8A2A33"/>
    <w:rsid w:val="6D9149D0"/>
    <w:rsid w:val="6DB0052D"/>
    <w:rsid w:val="6FD81D27"/>
    <w:rsid w:val="6FE67E7E"/>
    <w:rsid w:val="70041737"/>
    <w:rsid w:val="704214EF"/>
    <w:rsid w:val="71531B61"/>
    <w:rsid w:val="715C411C"/>
    <w:rsid w:val="71AA0808"/>
    <w:rsid w:val="72685795"/>
    <w:rsid w:val="727A2FD1"/>
    <w:rsid w:val="73177BC2"/>
    <w:rsid w:val="733D609C"/>
    <w:rsid w:val="736D79EA"/>
    <w:rsid w:val="73A54D40"/>
    <w:rsid w:val="73CF6789"/>
    <w:rsid w:val="73F54CD8"/>
    <w:rsid w:val="746848B0"/>
    <w:rsid w:val="748E7064"/>
    <w:rsid w:val="74F239A1"/>
    <w:rsid w:val="755C6ECA"/>
    <w:rsid w:val="756954D9"/>
    <w:rsid w:val="7577787F"/>
    <w:rsid w:val="75DA79A3"/>
    <w:rsid w:val="77293209"/>
    <w:rsid w:val="78FC61A1"/>
    <w:rsid w:val="78FF4573"/>
    <w:rsid w:val="793B1AC8"/>
    <w:rsid w:val="797F01F4"/>
    <w:rsid w:val="79903016"/>
    <w:rsid w:val="79A4014B"/>
    <w:rsid w:val="79A95C97"/>
    <w:rsid w:val="7A544A8A"/>
    <w:rsid w:val="7BBC2DB7"/>
    <w:rsid w:val="7C7F0075"/>
    <w:rsid w:val="7CB20B03"/>
    <w:rsid w:val="7DF81159"/>
    <w:rsid w:val="7E564500"/>
    <w:rsid w:val="7F3954F7"/>
    <w:rsid w:val="7F7C2E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251" w:lineRule="exact"/>
      <w:ind w:left="2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info-content-text"/>
    <w:basedOn w:val="9"/>
    <w:qFormat/>
    <w:uiPriority w:val="0"/>
  </w:style>
  <w:style w:type="paragraph" w:customStyle="1" w:styleId="16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2021-02-01T14:23:28Z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