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大庆市海默石油技术服务有限公司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Q：18.08.00</w:t>
            </w:r>
          </w:p>
          <w:p>
            <w:pPr>
              <w:snapToGrid w:val="0"/>
              <w:spacing w:line="280" w:lineRule="exact"/>
              <w:ind w:left="52"/>
              <w:jc w:val="center"/>
              <w:rPr>
                <w:b/>
                <w:sz w:val="20"/>
              </w:rPr>
            </w:pPr>
            <w:r>
              <w:rPr>
                <w:b/>
                <w:sz w:val="20"/>
              </w:rPr>
              <w:t>E：18.08.00</w:t>
            </w:r>
          </w:p>
          <w:p>
            <w:pPr>
              <w:snapToGrid w:val="0"/>
              <w:spacing w:line="280" w:lineRule="exact"/>
              <w:ind w:left="52"/>
              <w:jc w:val="center"/>
              <w:rPr>
                <w:b/>
                <w:sz w:val="20"/>
              </w:rPr>
            </w:pPr>
            <w:r>
              <w:rPr>
                <w:b/>
                <w:sz w:val="20"/>
              </w:rPr>
              <w:t>O：18.08.00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Q：18.08.00</w:t>
            </w:r>
          </w:p>
          <w:p>
            <w:pPr>
              <w:snapToGrid w:val="0"/>
              <w:spacing w:line="280" w:lineRule="exact"/>
              <w:ind w:left="52"/>
              <w:jc w:val="center"/>
              <w:rPr>
                <w:b/>
                <w:sz w:val="20"/>
              </w:rPr>
            </w:pPr>
            <w:r>
              <w:rPr>
                <w:b/>
                <w:sz w:val="20"/>
              </w:rPr>
              <w:t>E：18.08.00</w:t>
            </w:r>
          </w:p>
          <w:p>
            <w:pPr>
              <w:snapToGrid w:val="0"/>
              <w:spacing w:line="280" w:lineRule="exact"/>
              <w:jc w:val="center"/>
              <w:rPr>
                <w:b/>
                <w:sz w:val="20"/>
              </w:rPr>
            </w:pPr>
            <w:r>
              <w:rPr>
                <w:b/>
                <w:sz w:val="20"/>
              </w:rPr>
              <w:t>O：18.08.00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b/>
                <w:sz w:val="20"/>
              </w:rPr>
            </w:pPr>
            <w:r>
              <w:rPr>
                <w:rFonts w:hint="eastAsia"/>
                <w:sz w:val="18"/>
                <w:szCs w:val="18"/>
              </w:rPr>
              <w:t>李雅静</w:t>
            </w:r>
          </w:p>
        </w:tc>
        <w:tc>
          <w:tcPr>
            <w:tcW w:w="1505" w:type="dxa"/>
            <w:vAlign w:val="center"/>
          </w:tcPr>
          <w:p>
            <w:pPr>
              <w:snapToGrid w:val="0"/>
              <w:spacing w:line="360" w:lineRule="exact"/>
              <w:jc w:val="center"/>
              <w:rPr>
                <w:b/>
                <w:sz w:val="20"/>
              </w:rPr>
            </w:pPr>
            <w:r>
              <w:rPr>
                <w:rFonts w:hint="eastAsia"/>
                <w:sz w:val="18"/>
                <w:szCs w:val="18"/>
              </w:rPr>
              <w:t>冯雪峥</w:t>
            </w:r>
          </w:p>
        </w:tc>
        <w:tc>
          <w:tcPr>
            <w:tcW w:w="1290" w:type="dxa"/>
            <w:vAlign w:val="center"/>
          </w:tcPr>
          <w:p>
            <w:pPr>
              <w:snapToGrid w:val="0"/>
              <w:spacing w:line="360" w:lineRule="exact"/>
              <w:jc w:val="center"/>
              <w:rPr>
                <w:b/>
                <w:sz w:val="20"/>
              </w:rPr>
            </w:pPr>
            <w:r>
              <w:rPr>
                <w:rFonts w:hint="eastAsia"/>
                <w:sz w:val="18"/>
                <w:szCs w:val="18"/>
              </w:rPr>
              <w:t>姜惠萍</w:t>
            </w: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290"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安全阀、减压阀检修流程：</w:t>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签订合同-安全阀检查（密封锈蚀、阀芯锈死、零部件损坏等）-更换-调试-检验-验收</w:t>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液压蓄能器检修流程：</w:t>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签订合同-液压蓄能器检查（压力容器、皮囊、防挤压环、密封垫、蓄能器充氮、其他零件损坏等）-更换-调试-检验-验收</w:t>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关键过程有：维修过程   需要确认过程：蓄能器充氮过程</w:t>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pStyle w:val="12"/>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需要控制的有：</w:t>
            </w:r>
          </w:p>
          <w:p>
            <w:pPr>
              <w:pStyle w:val="12"/>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设备参数、人员的资质、记录、工艺文件</w:t>
            </w:r>
          </w:p>
          <w:p>
            <w:pPr>
              <w:pStyle w:val="12"/>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设备认可：设备定期保养，并进行检验</w:t>
            </w:r>
          </w:p>
          <w:p>
            <w:pPr>
              <w:pStyle w:val="12"/>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本公司工作人员进行该过程的生产活动，能满足要求。</w:t>
            </w:r>
          </w:p>
          <w:p>
            <w:pPr>
              <w:pStyle w:val="12"/>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人员资格：操作员均进行了相关的培训，可满足要求</w:t>
            </w:r>
          </w:p>
          <w:p>
            <w:pPr>
              <w:snapToGrid w:val="0"/>
              <w:spacing w:line="280" w:lineRule="exact"/>
              <w:jc w:val="left"/>
              <w:rPr>
                <w:rFonts w:hint="eastAsia" w:ascii="Times New Roman" w:hAnsi="Times New Roman" w:eastAsia="宋体" w:cs="Times New Roman"/>
                <w:bCs w:val="0"/>
                <w:spacing w:val="0"/>
                <w:kern w:val="2"/>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通过定性判断法，共识别出重大环境因素3项：固废排放、火灾、噪声，评价符合程序要求及公司的实际情况。</w:t>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对重要环境因素的控制措施包括制定管理制度、监督检查、应急预案、培训等。提供《重要环境因素识别清单》，其中综合部涉及的重要环境因素：固废排放、意外火灾的发生、噪声，评价基本合理。</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napToGrid w:val="0"/>
              <w:spacing w:line="360" w:lineRule="exact"/>
              <w:jc w:val="left"/>
              <w:rPr>
                <w:b/>
                <w:sz w:val="20"/>
              </w:rPr>
            </w:pPr>
            <w:r>
              <w:rPr>
                <w:rFonts w:hint="eastAsia" w:ascii="Times New Roman" w:hAnsi="Times New Roman" w:eastAsia="宋体" w:cs="Times New Roman"/>
                <w:bCs w:val="0"/>
                <w:spacing w:val="0"/>
                <w:kern w:val="2"/>
                <w:sz w:val="18"/>
                <w:szCs w:val="18"/>
                <w:lang w:val="en-US" w:eastAsia="zh-CN" w:bidi="ar-SA"/>
              </w:rPr>
              <w:t>提供的：“危险源识别与风险评价表”、“不可接受风险源清单”， 评价考虑了将来、状态、可能导致的事件，并进行了评价，用打分法考虑了法规符合性、发生频次、影响范围等, 通过是非法，本部门识别的各区域危险源有：触电、意外伤害、职业病、火灾、机械伤害等。不可接受风险识别有：火灾、意外伤害、触电。评价符合程序要求及公司的实际情况。对危险源的控制措施包括制定管理制度、监督检查、应急预案、培训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bookmarkStart w:id="6" w:name="_GoBack"/>
            <w:r>
              <w:rPr>
                <w:rFonts w:hint="eastAsia" w:ascii="Times New Roman" w:hAnsi="Times New Roman" w:eastAsia="宋体" w:cs="Times New Roman"/>
                <w:bCs w:val="0"/>
                <w:spacing w:val="0"/>
                <w:kern w:val="2"/>
                <w:sz w:val="18"/>
                <w:szCs w:val="18"/>
                <w:lang w:val="en-US" w:eastAsia="zh-CN" w:bidi="ar-SA"/>
              </w:rPr>
              <w:t>CB/T 3021-2013</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安全阀技术要求和性能试验方法</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工业和信息化部</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2013-12-01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GB/T 12241-2005</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安全阀 一般要求</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国家质量监督检验检疫.</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2005-08-01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GB/T 12242-2005</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压力释放装置 性能试验规范</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国家质量监督检验检疫.</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2005-08-01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GB/T 12243-2005</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弹簧直接载荷式安全阀</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国家质量监督检验检疫.</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2005-08-01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GB/T 22342-2008</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石油天然气工业 井下安全阀系统 设计、安装、操作和维护</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国家标准化管理委员.</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2009-03-01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GB/T 28259-2012</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石油天然气工业 井下设备 井下安全阀</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国家质量监督检验检疫.</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2012-07-01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HG/T 20570.2-1995</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安全阀的设置和选用</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1996-03-01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GB/T 12244-2006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减压阀 一般要求</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中国机械工业联合会</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2007-05-01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GB/T 12245-2006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减压阀 性能试验方法</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国家质量监督检验检疫.</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2007-05-01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JB/T 2205-2013</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减压阀 结构长度</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工业和信息化部</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2013-09-01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HG/T 2331-1992</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液压隔离式蓄能器用胶囊</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1992-07-01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JB/T 7034-2006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液压隔膜式蓄能器 型式和尺寸</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国家发展和改革委员会</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2007-02-01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JB/T 7035-2006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液压囊式蓄能器 型式和尺寸</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国家发展和改革委员会</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2007-02-01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JB/T 7036-2006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液压隔离式蓄能器 技术条件</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国家发展和改革委员会</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2007-02-01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JB/T 7037-2006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液压隔离式蓄能器 试验方法</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国家发展和改革委员会</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2007-02-01</w:t>
            </w:r>
            <w:r>
              <w:rPr>
                <w:rFonts w:hint="eastAsia" w:ascii="Times New Roman" w:hAnsi="Times New Roman" w:eastAsia="宋体" w:cs="Times New Roman"/>
                <w:bCs w:val="0"/>
                <w:spacing w:val="0"/>
                <w:kern w:val="2"/>
                <w:sz w:val="18"/>
                <w:szCs w:val="18"/>
                <w:lang w:val="en-US" w:eastAsia="zh-CN" w:bidi="ar-SA"/>
              </w:rPr>
              <w:tab/>
            </w:r>
          </w:p>
          <w:p>
            <w:pPr>
              <w:snapToGrid w:val="0"/>
              <w:spacing w:line="360" w:lineRule="exact"/>
              <w:jc w:val="left"/>
              <w:rPr>
                <w:rFonts w:hint="eastAsia"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 xml:space="preserve"> JB/T 7038-2006</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 xml:space="preserve"> 液压隔离式蓄能器 壳体 技术条件</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国家发展和改革委员会</w:t>
            </w:r>
            <w:r>
              <w:rPr>
                <w:rFonts w:hint="eastAsia" w:ascii="Times New Roman" w:hAnsi="Times New Roman" w:eastAsia="宋体" w:cs="Times New Roman"/>
                <w:bCs w:val="0"/>
                <w:spacing w:val="0"/>
                <w:kern w:val="2"/>
                <w:sz w:val="18"/>
                <w:szCs w:val="18"/>
                <w:lang w:val="en-US" w:eastAsia="zh-CN" w:bidi="ar-SA"/>
              </w:rPr>
              <w:tab/>
            </w:r>
            <w:r>
              <w:rPr>
                <w:rFonts w:hint="eastAsia" w:ascii="Times New Roman" w:hAnsi="Times New Roman" w:eastAsia="宋体" w:cs="Times New Roman"/>
                <w:bCs w:val="0"/>
                <w:spacing w:val="0"/>
                <w:kern w:val="2"/>
                <w:sz w:val="18"/>
                <w:szCs w:val="18"/>
                <w:lang w:val="en-US" w:eastAsia="zh-CN" w:bidi="ar-SA"/>
              </w:rPr>
              <w:t>2007-02-01</w:t>
            </w:r>
          </w:p>
          <w:bookmarkEnd w:id="6"/>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eastAsia="zh-CN"/>
              </w:rPr>
              <w:t>。</w:t>
            </w:r>
          </w:p>
        </w:tc>
      </w:tr>
    </w:tbl>
    <w:p>
      <w:pPr>
        <w:snapToGrid w:val="0"/>
        <w:rPr>
          <w:rFonts w:ascii="宋体"/>
          <w:b/>
          <w:sz w:val="22"/>
          <w:szCs w:val="22"/>
        </w:rPr>
      </w:pPr>
    </w:p>
    <w:p>
      <w:pPr>
        <w:snapToGrid w:val="0"/>
        <w:rPr>
          <w:rFonts w:hint="eastAsia"/>
          <w:b/>
          <w:sz w:val="18"/>
          <w:szCs w:val="18"/>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2021.1.29</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2021.1.29</w:t>
      </w:r>
      <w:r>
        <w:rPr>
          <w:rFonts w:hint="eastAsia"/>
          <w:b/>
          <w:sz w:val="18"/>
          <w:szCs w:val="18"/>
        </w:rPr>
        <w:t xml:space="preserve">  </w:t>
      </w: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7B6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2021-02-01T14:36:32Z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