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重庆市丰蕙达金属锻造有限公司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生产技术部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马永强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napToGrid w:val="0"/>
              <w:spacing w:line="280" w:lineRule="exact"/>
              <w:ind w:firstLine="211" w:firstLineChars="100"/>
              <w:rPr>
                <w:rFonts w:hint="eastAsia" w:ascii="宋体" w:hAnsi="宋体" w:eastAsia="宋体" w:cs="Times New Roman"/>
                <w:b/>
                <w:sz w:val="22"/>
                <w:szCs w:val="22"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查：在用带表游标卡尺测量设备的检定或校准证书，提供校准或检定证书已过期。不符合标准GB/T19001-2016 7.1.5a）：对照能溯源到国际或国家标准的测量标准，按照规定的时间间隔或在使用前进行校准和（或）检定，当不存在上述标准时，应保留作为校准或验证依据的成文信息。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3060700</wp:posOffset>
                  </wp:positionH>
                  <wp:positionV relativeFrom="paragraph">
                    <wp:posOffset>168910</wp:posOffset>
                  </wp:positionV>
                  <wp:extent cx="812165" cy="275590"/>
                  <wp:effectExtent l="0" t="0" r="635" b="3810"/>
                  <wp:wrapNone/>
                  <wp:docPr id="2" name="图片 2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608965</wp:posOffset>
                  </wp:positionH>
                  <wp:positionV relativeFrom="paragraph">
                    <wp:posOffset>176530</wp:posOffset>
                  </wp:positionV>
                  <wp:extent cx="812165" cy="275590"/>
                  <wp:effectExtent l="0" t="0" r="635" b="3810"/>
                  <wp:wrapNone/>
                  <wp:docPr id="3" name="图片 3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            审核组长：   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2021年1月25日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2021年1月25日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2021年1月25日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3819525</wp:posOffset>
                  </wp:positionH>
                  <wp:positionV relativeFrom="paragraph">
                    <wp:posOffset>45085</wp:posOffset>
                  </wp:positionV>
                  <wp:extent cx="812165" cy="275590"/>
                  <wp:effectExtent l="0" t="0" r="635" b="3810"/>
                  <wp:wrapNone/>
                  <wp:docPr id="13" name="图片 13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</w:t>
      </w:r>
      <w:bookmarkStart w:id="5" w:name="_GoBack"/>
      <w:bookmarkEnd w:id="5"/>
      <w:r>
        <w:rPr>
          <w:rFonts w:hint="eastAsia" w:eastAsia="方正仿宋简体"/>
          <w:b/>
        </w:rPr>
        <w:t>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7CC63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</TotalTime>
  <ScaleCrop>false</ScaleCrop>
  <LinksUpToDate>false</LinksUpToDate>
  <CharactersWithSpaces>687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宋明珠</cp:lastModifiedBy>
  <cp:lastPrinted>2019-05-13T03:02:00Z</cp:lastPrinted>
  <dcterms:modified xsi:type="dcterms:W3CDTF">2021-01-25T03:14:05Z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