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苏红英，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年1月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重庆市丰蕙达金属锻造有限公司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成立于2008年，主要由行业中高技术专业人员组成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</w:t>
            </w:r>
            <w:r>
              <w:rPr>
                <w:rFonts w:hint="eastAsia"/>
                <w:szCs w:val="21"/>
                <w:lang w:val="en-US" w:eastAsia="zh-CN"/>
              </w:rPr>
              <w:t>机械配件、汽车配件、摩托车配件、模具的加工及销售为主的制造实体。主营产品：锻造件（梅花半轴接盘、半悬浮方盘、启动齿轮等）及其生产所使用模具的制作。现有员工30人，目前经营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7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经现场审核核实：现场审核位置为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重庆市璧山区河边镇农兴村一社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机械配件、汽车配件、摩托车配件、模具的加工及销售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圆钢剪断机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可控硅中频感应加热成套设备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压力机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普通车床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带锯床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电动螺旋压力机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预锻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预锻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2020年8月1日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组织实际与管理体系文件化信息描述基本一致。有管理层、综合管理部、生产技术部。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XJ-JSB-0140/16、XJ-JSB-0140116、GB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1804-m、GB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5216-2004、8620H-Q/ZZ 2015、20CrMnTiH-GB5216、GB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15055-m、</w:t>
            </w:r>
            <w:r>
              <w:rPr>
                <w:rFonts w:hint="eastAsia" w:ascii="宋体" w:hAnsi="宋体" w:eastAsia="宋体" w:cs="Times New Roman"/>
                <w:szCs w:val="21"/>
              </w:rPr>
              <w:t>QC/228.1-1997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QC/T468-1999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GB T 25135-2010锻造工艺质量控制规范标准等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锻造件：</w:t>
            </w:r>
            <w:r>
              <w:rPr>
                <w:rFonts w:hint="eastAsia"/>
                <w:lang w:val="en-US" w:eastAsia="zh-CN"/>
              </w:rPr>
              <w:t>原材料----下料----半成品----加热----预锻----成型----冲孔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（适用时）----</w:t>
            </w:r>
            <w:r>
              <w:rPr>
                <w:rFonts w:hint="eastAsia"/>
                <w:lang w:val="en-US" w:eastAsia="zh-CN"/>
              </w:rPr>
              <w:t>切边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（适用时）----抛丸（适用时）----成品入库</w:t>
            </w:r>
          </w:p>
          <w:p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模具加工：</w:t>
            </w: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/>
                <w:lang w:val="en-US" w:eastAsia="zh-CN"/>
              </w:rPr>
              <w:t>下料----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车加工----检验----投入使用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预锻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预锻，也是特殊过程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机械零部件的加工依据客户提供图纸或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20CrMnTiH、Q235B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圆钢剪断机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可控硅中频感应加热成套设备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压力机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普通车床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带锯床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电动螺旋压力机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带表游标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卡尺。采取外检，提供的检测设备检定或校准证书已过期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方针：“质量第一、降本增效、精益求精、持续改进”。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 xml:space="preserve">2020年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日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马永强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组员：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吴朝刚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涉及综合管理部Q7.2条款2020.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.15日查综合管理部20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0年培训记录，未见按计划对操作人员进行培训的证据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苏红英</w:t>
            </w:r>
            <w:r>
              <w:rPr>
                <w:rFonts w:hint="eastAsia" w:ascii="宋体" w:hAnsi="宋体" w:eastAsia="宋体" w:cs="Times New Roman"/>
                <w:szCs w:val="21"/>
              </w:rPr>
              <w:t>总经理主持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增强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>
      <w:pPr>
        <w:pStyle w:val="5"/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01834FB"/>
    <w:rsid w:val="79E57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0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2021-02-03T02:03:02Z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