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0048-2021-Q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重庆朝启机车部件制造有限公司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18.02.05,22.03.02,22.05.01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重庆朝启机车部件制造有限公司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重庆市沙区西永都市工业园156号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重庆市沙坪坝区西永工业园156号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400700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张贵贺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13883367599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张贵召</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张贵贺</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3367599@qq.com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hint="eastAsia" w:ascii="宋体" w:hAnsi="宋体"/>
                <w:b/>
                <w:color w:val="000000"/>
                <w:sz w:val="20"/>
                <w:szCs w:val="20"/>
                <w:lang w:eastAsia="zh-CN"/>
              </w:rPr>
              <w:t>汽车配件（不含发动机）、摩托车零部件（不含发动机）、空调零部件、冲压零部件、橡塑制品生产及销售</w:t>
            </w:r>
            <w:r>
              <w:rPr>
                <w:rFonts w:ascii="宋体" w:hAnsi="宋体"/>
                <w:b/>
                <w:color w:val="000000"/>
                <w:sz w:val="20"/>
                <w:szCs w:val="20"/>
              </w:rPr>
              <w:t>；</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18.02.05;22.03.02;22.05.01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rPr>
      </w:pPr>
      <w:r>
        <w:rPr>
          <w:rFonts w:hint="eastAsia" w:ascii="宋体" w:hAnsi="宋体"/>
          <w:b/>
          <w:color w:val="000000"/>
          <w:sz w:val="20"/>
          <w:szCs w:val="20"/>
        </w:rPr>
        <w:t>部门：</w:t>
      </w:r>
      <w:r>
        <w:rPr>
          <w:rFonts w:hint="eastAsia" w:ascii="Times New Roman" w:hAnsi="Times New Roman" w:eastAsia="宋体" w:cs="Times New Roman"/>
          <w:szCs w:val="22"/>
          <w:lang w:val="en-US" w:eastAsia="zh-CN"/>
        </w:rPr>
        <w:t>管理层、综合管理部、生产技术部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Times New Roman" w:hAnsi="Times New Roman" w:eastAsia="宋体" w:cs="Times New Roman"/>
                <w:szCs w:val="22"/>
                <w:lang w:val="en-US" w:eastAsia="zh-CN"/>
              </w:rPr>
            </w:pPr>
            <w:r>
              <w:rPr>
                <w:rFonts w:hint="eastAsia" w:ascii="宋体" w:hAnsi="宋体"/>
                <w:b/>
                <w:color w:val="000000"/>
                <w:sz w:val="20"/>
                <w:szCs w:val="20"/>
              </w:rPr>
              <w:t>产品：</w:t>
            </w:r>
            <w:r>
              <w:rPr>
                <w:rFonts w:hint="eastAsia" w:ascii="Times New Roman" w:hAnsi="Times New Roman" w:eastAsia="宋体" w:cs="Times New Roman"/>
                <w:szCs w:val="22"/>
                <w:lang w:val="en-US" w:eastAsia="zh-CN"/>
              </w:rPr>
              <w:t xml:space="preserve">汽车、摩托车零配件的制造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管理层、综合管理部、生产技术部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val="en-US"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pStyle w:val="7"/>
              <w:spacing w:before="0" w:beforeAutospacing="0" w:after="0" w:afterAutospacing="0" w:line="240" w:lineRule="exact"/>
              <w:jc w:val="both"/>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hAnsi="宋体"/>
                <w:color w:val="000000"/>
                <w:sz w:val="20"/>
                <w:szCs w:val="20"/>
                <w:highlight w:val="none"/>
              </w:rPr>
              <w:t>：</w:t>
            </w:r>
            <w:r>
              <w:rPr>
                <w:rFonts w:hint="eastAsia" w:asciiTheme="minorEastAsia" w:hAnsiTheme="minorEastAsia" w:eastAsiaTheme="minorEastAsia"/>
                <w:sz w:val="20"/>
                <w:highlight w:val="none"/>
                <w:lang w:eastAsia="zh-CN"/>
              </w:rPr>
              <w:t>重庆市高新区白市驿镇海龙工业园区沄鑫机械</w:t>
            </w:r>
          </w:p>
          <w:p>
            <w:pPr>
              <w:tabs>
                <w:tab w:val="left" w:pos="360"/>
              </w:tabs>
              <w:ind w:left="357" w:hanging="357"/>
              <w:rPr>
                <w:rFonts w:ascii="宋体"/>
                <w:color w:val="FF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rPr>
              <w:t>租用办公</w:t>
            </w:r>
            <w:r>
              <w:rPr>
                <w:rFonts w:hint="eastAsia" w:ascii="宋体" w:hAnsi="宋体"/>
                <w:color w:val="000000"/>
                <w:sz w:val="20"/>
                <w:szCs w:val="20"/>
                <w:highlight w:val="none"/>
              </w:rPr>
              <w:t>用房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hAnsi="宋体" w:eastAsia="宋体" w:cs="Times New Roman"/>
                <w:szCs w:val="21"/>
                <w:lang w:val="en-US"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eastAsia="宋体" w:cs="Times New Roman"/>
                <w:szCs w:val="21"/>
              </w:rPr>
              <w:t>机械加工工艺装备基本术语GB/T 1008-2008</w:t>
            </w:r>
            <w:r>
              <w:rPr>
                <w:rFonts w:hint="eastAsia" w:ascii="宋体" w:hAnsi="宋体" w:eastAsia="宋体" w:cs="Times New Roman"/>
                <w:szCs w:val="21"/>
                <w:lang w:eastAsia="zh-CN"/>
              </w:rPr>
              <w:t>、</w:t>
            </w:r>
            <w:r>
              <w:rPr>
                <w:rFonts w:hint="eastAsia" w:ascii="宋体" w:hAnsi="宋体" w:eastAsia="宋体" w:cs="Times New Roman"/>
                <w:szCs w:val="21"/>
              </w:rPr>
              <w:t>机械加工定位、夹紧符号JB/T 5061-2006</w:t>
            </w:r>
            <w:r>
              <w:rPr>
                <w:rFonts w:hint="eastAsia" w:ascii="宋体" w:hAnsi="宋体" w:eastAsia="宋体" w:cs="Times New Roman"/>
                <w:szCs w:val="21"/>
                <w:lang w:eastAsia="zh-CN"/>
              </w:rPr>
              <w:t>、</w:t>
            </w:r>
            <w:r>
              <w:rPr>
                <w:rFonts w:hint="eastAsia" w:ascii="宋体" w:hAnsi="宋体" w:eastAsia="宋体" w:cs="Times New Roman"/>
                <w:szCs w:val="21"/>
              </w:rPr>
              <w:t>械加工工艺守则JB/T 9168-2006</w:t>
            </w:r>
            <w:r>
              <w:rPr>
                <w:rFonts w:hint="eastAsia" w:ascii="宋体" w:hAnsi="宋体" w:eastAsia="宋体" w:cs="Times New Roman"/>
                <w:szCs w:val="21"/>
                <w:lang w:eastAsia="zh-CN"/>
              </w:rPr>
              <w:t>、</w:t>
            </w:r>
            <w:r>
              <w:rPr>
                <w:rFonts w:hint="eastAsia" w:ascii="宋体" w:hAnsi="宋体" w:eastAsia="宋体" w:cs="Times New Roman"/>
                <w:szCs w:val="21"/>
              </w:rPr>
              <w:t>技术产品文件 机械加工定位、夹紧符号表示法GB/T 24740-2009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XJ-JSB-0140/16、XJ-JSB-0140116、GB</w:t>
            </w:r>
            <w:r>
              <w:rPr>
                <w:rFonts w:hint="eastAsia" w:ascii="宋体" w:hAnsi="宋体" w:eastAsia="宋体" w:cs="Times New Roman"/>
                <w:szCs w:val="21"/>
              </w:rPr>
              <w:t>/T</w:t>
            </w:r>
            <w:r>
              <w:rPr>
                <w:rFonts w:hint="eastAsia" w:ascii="宋体" w:hAnsi="宋体" w:eastAsia="宋体" w:cs="Times New Roman"/>
                <w:szCs w:val="21"/>
                <w:lang w:val="en-US" w:eastAsia="zh-CN"/>
              </w:rPr>
              <w:t>1804-m、GB</w:t>
            </w:r>
            <w:r>
              <w:rPr>
                <w:rFonts w:hint="eastAsia" w:ascii="宋体" w:hAnsi="宋体" w:eastAsia="宋体" w:cs="Times New Roman"/>
                <w:szCs w:val="21"/>
              </w:rPr>
              <w:t>/T</w:t>
            </w:r>
            <w:r>
              <w:rPr>
                <w:rFonts w:hint="eastAsia" w:ascii="宋体" w:hAnsi="宋体" w:eastAsia="宋体" w:cs="Times New Roman"/>
                <w:szCs w:val="21"/>
                <w:lang w:val="en-US" w:eastAsia="zh-CN"/>
              </w:rPr>
              <w:t>5216-2004、8620H-Q/ZZ 2015、20CrMnTiH-GB5216、GB</w:t>
            </w:r>
            <w:r>
              <w:rPr>
                <w:rFonts w:hint="eastAsia" w:ascii="宋体" w:hAnsi="宋体" w:eastAsia="宋体" w:cs="Times New Roman"/>
                <w:szCs w:val="21"/>
              </w:rPr>
              <w:t>/T</w:t>
            </w:r>
            <w:r>
              <w:rPr>
                <w:rFonts w:hint="eastAsia" w:ascii="宋体" w:hAnsi="宋体" w:eastAsia="宋体" w:cs="Times New Roman"/>
                <w:szCs w:val="21"/>
                <w:lang w:val="en-US" w:eastAsia="zh-CN"/>
              </w:rPr>
              <w:t>15055-m、</w:t>
            </w:r>
            <w:r>
              <w:rPr>
                <w:rFonts w:hint="eastAsia" w:ascii="宋体" w:hAnsi="宋体" w:eastAsia="宋体" w:cs="Times New Roman"/>
                <w:szCs w:val="21"/>
              </w:rPr>
              <w:t>QC/228.1-1997</w:t>
            </w:r>
            <w:r>
              <w:rPr>
                <w:rFonts w:hint="eastAsia" w:ascii="宋体" w:hAnsi="宋体" w:eastAsia="宋体" w:cs="Times New Roman"/>
                <w:szCs w:val="21"/>
                <w:lang w:eastAsia="zh-CN"/>
              </w:rPr>
              <w:t>、</w:t>
            </w:r>
            <w:r>
              <w:rPr>
                <w:rFonts w:hint="eastAsia" w:ascii="宋体" w:hAnsi="宋体" w:eastAsia="宋体" w:cs="Times New Roman"/>
                <w:szCs w:val="21"/>
              </w:rPr>
              <w:t>QC/T468-1999</w:t>
            </w:r>
            <w:r>
              <w:rPr>
                <w:rFonts w:hint="eastAsia" w:ascii="宋体" w:hAnsi="宋体" w:eastAsia="宋体" w:cs="Times New Roman"/>
                <w:szCs w:val="21"/>
                <w:lang w:val="en-US" w:eastAsia="zh-CN"/>
              </w:rPr>
              <w:t>等</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是否接受了行政主管部门的抽查□是</w:t>
            </w:r>
            <w:r>
              <w:rPr>
                <w:rFonts w:hint="eastAsia" w:ascii="宋体"/>
                <w:color w:val="000000"/>
                <w:sz w:val="20"/>
                <w:szCs w:val="20"/>
                <w:lang w:eastAsia="zh-CN"/>
              </w:rPr>
              <w:t>■</w:t>
            </w:r>
            <w:r>
              <w:rPr>
                <w:rFonts w:hint="eastAsia" w:ascii="宋体"/>
                <w:color w:val="000000"/>
                <w:sz w:val="20"/>
                <w:szCs w:val="20"/>
              </w:rPr>
              <w:t>否，抽查结果□合格□不合格</w:t>
            </w:r>
          </w:p>
          <w:p>
            <w:pPr>
              <w:rPr>
                <w:rFonts w:hint="eastAsia" w:ascii="宋体"/>
                <w:color w:val="000000"/>
                <w:sz w:val="20"/>
                <w:szCs w:val="20"/>
              </w:rPr>
            </w:pPr>
            <w:r>
              <w:rPr>
                <w:rFonts w:hint="eastAsia" w:ascii="宋体"/>
                <w:color w:val="000000"/>
                <w:sz w:val="20"/>
                <w:szCs w:val="20"/>
              </w:rPr>
              <w:t>是否列入当地政府黑名单□是</w:t>
            </w:r>
            <w:r>
              <w:rPr>
                <w:rFonts w:hint="eastAsia" w:ascii="宋体"/>
                <w:color w:val="000000"/>
                <w:sz w:val="20"/>
                <w:szCs w:val="20"/>
                <w:lang w:eastAsia="zh-CN"/>
              </w:rPr>
              <w:t>■</w:t>
            </w:r>
            <w:r>
              <w:rPr>
                <w:rFonts w:hint="eastAsia" w:ascii="宋体"/>
                <w:color w:val="000000"/>
                <w:sz w:val="20"/>
                <w:szCs w:val="20"/>
              </w:rPr>
              <w:t>否</w:t>
            </w:r>
          </w:p>
          <w:p>
            <w:pPr>
              <w:rPr>
                <w:rFonts w:hint="eastAsia" w:ascii="宋体"/>
                <w:color w:val="000000"/>
                <w:sz w:val="20"/>
                <w:szCs w:val="20"/>
              </w:rPr>
            </w:pPr>
            <w:r>
              <w:rPr>
                <w:rFonts w:hint="eastAsia" w:ascii="宋体"/>
                <w:color w:val="000000"/>
                <w:sz w:val="20"/>
                <w:szCs w:val="20"/>
              </w:rPr>
              <w:t>是否有重大顾客投诉□是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szCs w:val="21"/>
              </w:rPr>
            </w:pPr>
            <w:r>
              <w:rPr>
                <w:rFonts w:hint="eastAsia"/>
                <w:szCs w:val="21"/>
              </w:rPr>
              <w:t>产品流程</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散热器：原料----剪板（铝板）----冲压（铝板）-----制带（铝芯）----芯体装配----钎焊（外包）----试漏----装风扇----检验----入库</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拉索：原料----切线（钢丝绳）----压头（钢丝绳）----切管（套管）----穿线----铆接----检验----拉力测试----入库</w:t>
            </w:r>
          </w:p>
          <w:p>
            <w:pPr>
              <w:rPr>
                <w:rFonts w:hint="eastAsia" w:ascii="宋体" w:hAnsi="宋体"/>
                <w:sz w:val="21"/>
                <w:szCs w:val="21"/>
                <w:lang w:val="en-US" w:eastAsia="zh-CN"/>
              </w:rPr>
            </w:pPr>
            <w:r>
              <w:rPr>
                <w:rFonts w:hint="eastAsia" w:ascii="宋体" w:hAnsi="宋体" w:eastAsia="宋体" w:cs="Times New Roman"/>
                <w:sz w:val="21"/>
                <w:szCs w:val="21"/>
                <w:lang w:val="en-US" w:eastAsia="zh-CN"/>
              </w:rPr>
              <w:t>空调冷凝器：铝板----下料----冷凝器主板冲压----铝带铝管装配（装配机）----冷凝器芯体与主板钎焊（外包）----打磨----试压----喷塑（外包）----包装</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lang w:val="en-US"/>
              </w:rPr>
            </w:pPr>
            <w:r>
              <w:rPr>
                <w:rFonts w:hint="eastAsia" w:ascii="宋体" w:hAnsi="宋体"/>
                <w:color w:val="000000"/>
                <w:sz w:val="20"/>
                <w:szCs w:val="20"/>
              </w:rPr>
              <w:t>关键过程有：</w:t>
            </w:r>
            <w:r>
              <w:rPr>
                <w:rFonts w:hint="eastAsia" w:ascii="宋体" w:hAnsi="宋体"/>
                <w:sz w:val="21"/>
                <w:szCs w:val="21"/>
                <w:lang w:val="en-US" w:eastAsia="zh-CN"/>
              </w:rPr>
              <w:t>铆接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sz w:val="21"/>
                <w:szCs w:val="21"/>
                <w:lang w:val="en-US" w:eastAsia="zh-CN"/>
              </w:rPr>
              <w:t>铆接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eastAsia="宋体" w:cs="Times New Roman"/>
                <w:sz w:val="21"/>
                <w:szCs w:val="21"/>
                <w:lang w:val="en-US" w:eastAsia="zh-CN"/>
              </w:rPr>
              <w:t>钎焊</w:t>
            </w:r>
            <w:r>
              <w:rPr>
                <w:rFonts w:hint="eastAsia" w:ascii="宋体" w:hAnsi="宋体" w:cs="Times New Roman"/>
                <w:sz w:val="21"/>
                <w:szCs w:val="21"/>
                <w:lang w:val="en-US" w:eastAsia="zh-CN"/>
              </w:rPr>
              <w:t>、</w:t>
            </w:r>
            <w:r>
              <w:rPr>
                <w:rFonts w:hint="eastAsia" w:ascii="宋体" w:hAnsi="宋体" w:eastAsia="宋体" w:cs="Times New Roman"/>
                <w:sz w:val="21"/>
                <w:szCs w:val="21"/>
                <w:lang w:val="en-US" w:eastAsia="zh-CN"/>
              </w:rPr>
              <w:t>喷塑</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合同、技术协议书。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eastAsia="宋体"/>
                <w:szCs w:val="21"/>
                <w:highlight w:val="none"/>
                <w:lang w:eastAsia="zh-CN"/>
              </w:rPr>
            </w:pPr>
            <w:r>
              <w:rPr>
                <w:rFonts w:hint="eastAsia" w:ascii="宋体"/>
                <w:color w:val="000000"/>
                <w:sz w:val="20"/>
                <w:szCs w:val="20"/>
              </w:rPr>
              <w:t>主要设备：</w:t>
            </w:r>
            <w:r>
              <w:rPr>
                <w:rFonts w:hint="eastAsia" w:ascii="宋体" w:hAnsi="宋体" w:eastAsia="宋体" w:cs="Times New Roman"/>
                <w:color w:val="auto"/>
                <w:szCs w:val="21"/>
              </w:rPr>
              <w:t>高速冲床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剪板机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扩口机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胀管机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试气台</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剪切机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缩管机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压力机等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hint="eastAsia" w:ascii="宋体" w:hAnsi="宋体" w:cs="宋体"/>
                <w:sz w:val="21"/>
                <w:szCs w:val="21"/>
                <w:highlight w:val="none"/>
                <w:lang w:eastAsia="zh-CN"/>
              </w:rPr>
              <w:t>。</w:t>
            </w:r>
          </w:p>
          <w:p>
            <w:pPr>
              <w:rPr>
                <w:rFonts w:hint="eastAsia" w:ascii="宋体" w:eastAsia="宋体"/>
                <w:color w:val="FF0000"/>
                <w:spacing w:val="-1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lang w:val="en-US" w:eastAsia="zh-CN"/>
              </w:rPr>
            </w:pPr>
            <w:r>
              <w:rPr>
                <w:rFonts w:hint="eastAsia" w:ascii="宋体"/>
                <w:color w:val="000000"/>
                <w:sz w:val="20"/>
                <w:szCs w:val="20"/>
              </w:rPr>
              <w:t>特种设备：</w:t>
            </w:r>
            <w:r>
              <w:rPr>
                <w:rFonts w:hint="eastAsia"/>
                <w:color w:val="000000" w:themeColor="text1"/>
                <w:sz w:val="21"/>
                <w:szCs w:val="21"/>
                <w:lang w:val="en-US" w:eastAsia="zh-CN"/>
              </w:rPr>
              <w:t>无</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监视和测量设备（请简述主要监视和测量设备）：</w:t>
            </w:r>
            <w:r>
              <w:rPr>
                <w:rFonts w:hint="eastAsia" w:ascii="宋体" w:hAnsi="宋体" w:eastAsia="宋体" w:cs="Times New Roman"/>
                <w:color w:val="auto"/>
                <w:szCs w:val="21"/>
                <w:lang w:val="en-US" w:eastAsia="zh-CN"/>
              </w:rPr>
              <w:t>带表游标卡尺等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pStyle w:val="7"/>
              <w:spacing w:before="0" w:beforeAutospacing="0" w:after="0" w:afterAutospacing="0" w:line="240" w:lineRule="exact"/>
              <w:jc w:val="both"/>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w:t>
            </w:r>
            <w:r>
              <w:rPr>
                <w:rFonts w:hint="eastAsia" w:eastAsia="宋体"/>
                <w:sz w:val="21"/>
                <w:szCs w:val="21"/>
                <w:highlight w:val="none"/>
              </w:rPr>
              <w:t>》，于</w:t>
            </w:r>
            <w:r>
              <w:rPr>
                <w:rFonts w:hint="eastAsia" w:eastAsia="宋体"/>
                <w:sz w:val="21"/>
                <w:szCs w:val="21"/>
                <w:highlight w:val="none"/>
                <w:lang w:eastAsia="zh-CN"/>
              </w:rPr>
              <w:t>2020年 11月15日</w:t>
            </w:r>
            <w:r>
              <w:rPr>
                <w:rFonts w:hint="eastAsia" w:eastAsia="宋体"/>
                <w:sz w:val="21"/>
                <w:szCs w:val="21"/>
                <w:highlight w:val="none"/>
              </w:rPr>
              <w:t>进行了内部审核。内部审核组组成</w:t>
            </w:r>
            <w:r>
              <w:rPr>
                <w:rFonts w:hint="eastAsia" w:eastAsia="宋体"/>
                <w:sz w:val="21"/>
                <w:szCs w:val="21"/>
                <w:highlight w:val="none"/>
                <w:lang w:eastAsia="zh-CN"/>
              </w:rPr>
              <w:t>：</w:t>
            </w:r>
            <w:r>
              <w:rPr>
                <w:rFonts w:hint="eastAsia" w:eastAsia="宋体"/>
                <w:sz w:val="21"/>
                <w:szCs w:val="21"/>
                <w:highlight w:val="none"/>
                <w:lang w:val="en-US" w:eastAsia="zh-CN"/>
              </w:rPr>
              <w:t>组长：张世英        组员：程丽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1"/>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1"/>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a.GB/T 19001:2016、标准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 xml:space="preserve"> 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highlight w:val="none"/>
              </w:rPr>
            </w:pPr>
            <w:r>
              <w:rPr>
                <w:rFonts w:hint="eastAsia" w:ascii="宋体" w:hAnsi="宋体" w:cs="宋体"/>
                <w:w w:val="90"/>
                <w:szCs w:val="21"/>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w:t>
            </w:r>
            <w:r>
              <w:rPr>
                <w:rFonts w:hint="eastAsia" w:ascii="Times New Roman" w:hAnsi="Times New Roman" w:eastAsia="宋体" w:cs="Times New Roman"/>
                <w:szCs w:val="21"/>
                <w:highlight w:val="none"/>
              </w:rPr>
              <w:t>于</w:t>
            </w:r>
            <w:r>
              <w:rPr>
                <w:rFonts w:hint="eastAsia" w:ascii="Times New Roman" w:hAnsi="Times New Roman" w:eastAsia="宋体" w:cs="Times New Roman"/>
                <w:szCs w:val="21"/>
                <w:highlight w:val="none"/>
                <w:lang w:eastAsia="zh-CN"/>
              </w:rPr>
              <w:t>2020年</w:t>
            </w:r>
            <w:r>
              <w:rPr>
                <w:rFonts w:hint="eastAsia" w:ascii="Times New Roman" w:hAnsi="Times New Roman" w:eastAsia="宋体" w:cs="Times New Roman"/>
                <w:szCs w:val="21"/>
                <w:highlight w:val="none"/>
                <w:lang w:val="en-US" w:eastAsia="zh-CN"/>
              </w:rPr>
              <w:t>11</w:t>
            </w:r>
            <w:r>
              <w:rPr>
                <w:rFonts w:hint="eastAsia" w:ascii="Times New Roman" w:hAnsi="Times New Roman" w:eastAsia="宋体" w:cs="Times New Roman"/>
                <w:szCs w:val="21"/>
                <w:highlight w:val="none"/>
                <w:lang w:eastAsia="zh-CN"/>
              </w:rPr>
              <w:t>月</w:t>
            </w:r>
            <w:r>
              <w:rPr>
                <w:rFonts w:hint="eastAsia" w:ascii="Times New Roman" w:hAnsi="Times New Roman" w:eastAsia="宋体" w:cs="Times New Roman"/>
                <w:szCs w:val="21"/>
                <w:highlight w:val="none"/>
                <w:lang w:val="en-US" w:eastAsia="zh-CN"/>
              </w:rPr>
              <w:t>25</w:t>
            </w:r>
            <w:r>
              <w:rPr>
                <w:rFonts w:hint="eastAsia" w:ascii="Times New Roman" w:hAnsi="Times New Roman" w:eastAsia="宋体" w:cs="Times New Roman"/>
                <w:szCs w:val="21"/>
                <w:highlight w:val="none"/>
                <w:lang w:eastAsia="zh-CN"/>
              </w:rPr>
              <w:t>日</w:t>
            </w:r>
            <w:r>
              <w:rPr>
                <w:rFonts w:hint="eastAsia" w:ascii="Times New Roman" w:hAnsi="Times New Roman" w:eastAsia="宋体" w:cs="Times New Roman"/>
                <w:szCs w:val="21"/>
                <w:highlight w:val="none"/>
              </w:rPr>
              <w:t>就管理</w:t>
            </w:r>
            <w:r>
              <w:rPr>
                <w:rFonts w:hint="eastAsia"/>
                <w:szCs w:val="21"/>
                <w:highlight w:val="none"/>
              </w:rPr>
              <w:t>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auto"/>
          <w:sz w:val="20"/>
          <w:szCs w:val="20"/>
        </w:rPr>
      </w:pPr>
      <w:r>
        <w:rPr>
          <w:rFonts w:hint="eastAsia" w:ascii="宋体" w:hAnsi="宋体"/>
          <w:b/>
          <w:color w:val="auto"/>
          <w:sz w:val="20"/>
          <w:szCs w:val="20"/>
          <w:lang w:eastAsia="zh-CN"/>
        </w:rPr>
        <w:t>■</w:t>
      </w:r>
      <w:r>
        <w:rPr>
          <w:rFonts w:hint="eastAsia" w:ascii="宋体" w:hAnsi="宋体"/>
          <w:b/>
          <w:color w:val="auto"/>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u w:val="single"/>
          <w:lang w:val="en-US" w:eastAsia="zh-CN"/>
        </w:rPr>
      </w:pPr>
      <w:r>
        <w:rPr>
          <w:rFonts w:ascii="宋体" w:hAnsi="宋体"/>
          <w:b/>
          <w:color w:val="000000"/>
          <w:sz w:val="20"/>
          <w:szCs w:val="20"/>
        </w:rPr>
        <w:t>QMS:</w:t>
      </w:r>
      <w:r>
        <w:rPr>
          <w:rFonts w:hint="eastAsia"/>
          <w:szCs w:val="21"/>
          <w:u w:val="single"/>
          <w:lang w:val="en-US" w:eastAsia="zh-CN"/>
        </w:rPr>
        <w:t>汽车配件（不含发动机）、摩托车零部件（不含发动机）、空调零部件、普通机械、橡塑制品</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1889125</wp:posOffset>
            </wp:positionH>
            <wp:positionV relativeFrom="paragraph">
              <wp:posOffset>24130</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683895" cy="271145"/>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eastAsia="zh-CN"/>
        </w:rPr>
      </w:pPr>
      <w:r>
        <w:rPr>
          <w:rFonts w:hint="eastAsia" w:ascii="宋体" w:hAnsi="宋体"/>
          <w:b/>
          <w:color w:val="000000"/>
        </w:rPr>
        <w:t>日期</w:t>
      </w:r>
      <w:r>
        <w:rPr>
          <w:rFonts w:ascii="宋体" w:hAnsi="宋体"/>
          <w:b/>
          <w:color w:val="000000"/>
        </w:rPr>
        <w:t xml:space="preserve">:  </w:t>
      </w:r>
      <w:r>
        <w:rPr>
          <w:rFonts w:hint="eastAsia"/>
          <w:color w:val="000000"/>
          <w:szCs w:val="21"/>
          <w:lang w:eastAsia="zh-CN"/>
        </w:rPr>
        <w:t>202</w:t>
      </w:r>
      <w:r>
        <w:rPr>
          <w:rFonts w:hint="eastAsia"/>
          <w:color w:val="000000"/>
          <w:szCs w:val="21"/>
          <w:lang w:val="en-US" w:eastAsia="zh-CN"/>
        </w:rPr>
        <w:t>1</w:t>
      </w:r>
      <w:r>
        <w:rPr>
          <w:rFonts w:hint="eastAsia"/>
          <w:color w:val="000000"/>
          <w:szCs w:val="21"/>
          <w:lang w:eastAsia="zh-CN"/>
        </w:rPr>
        <w:t>年</w:t>
      </w:r>
      <w:bookmarkStart w:id="24" w:name="_GoBack"/>
      <w:bookmarkEnd w:id="24"/>
      <w:r>
        <w:rPr>
          <w:rFonts w:hint="eastAsia"/>
          <w:color w:val="000000"/>
          <w:szCs w:val="21"/>
          <w:lang w:eastAsia="zh-CN"/>
        </w:rPr>
        <w:t>1月</w:t>
      </w:r>
      <w:r>
        <w:rPr>
          <w:rFonts w:hint="eastAsia"/>
          <w:color w:val="000000"/>
          <w:szCs w:val="21"/>
          <w:lang w:val="en-US" w:eastAsia="zh-CN"/>
        </w:rPr>
        <w:t>2</w:t>
      </w:r>
      <w:r>
        <w:rPr>
          <w:rFonts w:hint="eastAsia"/>
          <w:color w:val="000000"/>
          <w:szCs w:val="21"/>
          <w:lang w:eastAsia="zh-CN"/>
        </w:rPr>
        <w:t>0日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FF0000"/>
                <w:sz w:val="24"/>
                <w:szCs w:val="24"/>
                <w:highlight w:val="none"/>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5080" w:firstLineChars="2300"/>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 xml:space="preserve">月   </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2051"/>
        <o:r id="V:Rule2"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FC72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2021-01-29T07:31:15Z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