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重庆朝启机车部件制造有限公司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0048-2021-Q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Calibri" w:hAnsi="Calibri"/>
                <w:lang w:val="en-US" w:eastAsia="zh-CN"/>
              </w:rPr>
              <w:t>91500106676123318B</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77696" behindDoc="0" locked="0" layoutInCell="1" allowOverlap="1">
                  <wp:simplePos x="0" y="0"/>
                  <wp:positionH relativeFrom="column">
                    <wp:posOffset>3972560</wp:posOffset>
                  </wp:positionH>
                  <wp:positionV relativeFrom="paragraph">
                    <wp:posOffset>69215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040" w:firstLineChars="2400"/>
              <w:rPr>
                <w:rFonts w:hint="default" w:eastAsia="宋体"/>
                <w:color w:val="000000"/>
                <w:szCs w:val="21"/>
                <w:lang w:val="en-US" w:eastAsia="zh-CN"/>
              </w:rPr>
            </w:pPr>
            <w:r>
              <w:rPr>
                <w:rFonts w:hint="eastAsia"/>
                <w:color w:val="000000"/>
                <w:szCs w:val="21"/>
              </w:rPr>
              <w:t>日期：</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6C3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2021-01-22T03:25:25Z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