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成都蒲然科技有限公司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19.09.02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highlight w:val="none"/>
              </w:rPr>
            </w:pPr>
            <w:bookmarkStart w:id="11" w:name="组织名称Add"/>
            <w:r>
              <w:rPr>
                <w:rFonts w:ascii="宋体"/>
                <w:b/>
                <w:color w:val="auto"/>
                <w:sz w:val="21"/>
                <w:highlight w:val="none"/>
              </w:rPr>
              <w:t>成都蒲然科技有限公司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highlight w:val="none"/>
              </w:rPr>
            </w:pPr>
            <w:bookmarkStart w:id="12" w:name="注册地址"/>
            <w:r>
              <w:rPr>
                <w:rFonts w:ascii="宋体"/>
                <w:b/>
                <w:color w:val="auto"/>
                <w:sz w:val="21"/>
                <w:highlight w:val="none"/>
              </w:rPr>
              <w:t>郫县成都现代工业港北片区港北五路279号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郫县成都现代工业港北片区港北五路279号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郫县成都现代工业港北片区港北五路279号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邵猷</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13678160055</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r>
              <w:rPr>
                <w:rFonts w:ascii="宋体"/>
                <w:b/>
                <w:sz w:val="21"/>
              </w:rPr>
              <w:t>028-68926383</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贺圣</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周晶</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2021年01月26日 上午至2021年01月26日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主变保护装置的制造</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19.09.02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宋体" w:hAnsi="宋体"/>
                <w:b/>
                <w:sz w:val="21"/>
                <w:szCs w:val="21"/>
              </w:rPr>
              <w:t>2023-02-10</w:t>
            </w:r>
          </w:p>
        </w:tc>
        <w:tc>
          <w:tcPr>
            <w:tcW w:w="1672" w:type="dxa"/>
            <w:vAlign w:val="center"/>
          </w:tcPr>
          <w:p>
            <w:pPr>
              <w:spacing w:line="260" w:lineRule="exact"/>
              <w:rPr>
                <w:rFonts w:ascii="宋体" w:hAnsi="宋体"/>
                <w:b/>
                <w:sz w:val="21"/>
                <w:szCs w:val="21"/>
              </w:rPr>
            </w:pPr>
            <w:r>
              <w:rPr>
                <w:rFonts w:hint="eastAsia" w:ascii="宋体" w:hAnsi="宋体"/>
                <w:b/>
                <w:sz w:val="21"/>
                <w:szCs w:val="21"/>
              </w:rPr>
              <w:t>上年度</w:t>
            </w:r>
          </w:p>
          <w:p>
            <w:pPr>
              <w:spacing w:line="260" w:lineRule="exact"/>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hAnsi="宋体"/>
                <w:b/>
                <w:sz w:val="21"/>
                <w:szCs w:val="21"/>
              </w:rPr>
            </w:pPr>
            <w:r>
              <w:rPr>
                <w:rFonts w:ascii="宋体" w:hAnsi="宋体"/>
                <w:b/>
                <w:sz w:val="21"/>
                <w:szCs w:val="21"/>
              </w:rPr>
              <w:t>2020-01-03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2020年01月03日至2021年01月26日。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4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主变保护装置的制造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宋体"/>
                <w:color w:val="auto"/>
                <w:szCs w:val="24"/>
                <w:lang w:val="en-US" w:eastAsia="zh-CN"/>
              </w:rPr>
              <w:t xml:space="preserve"> 芯片焊接过程</w:t>
            </w:r>
            <w:bookmarkStart w:id="29" w:name="_GoBack"/>
            <w:bookmarkEnd w:id="29"/>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564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lang w:val="en-US" w:eastAsia="zh-CN"/>
              </w:rPr>
              <w:t>公司工业自动控制系</w:t>
            </w:r>
            <w:r>
              <w:rPr>
                <w:rFonts w:hint="eastAsia" w:ascii="宋体" w:hAnsi="宋体" w:cs="Times New Roman"/>
                <w:color w:val="000000"/>
                <w:szCs w:val="21"/>
                <w:highlight w:val="none"/>
                <w:lang w:val="en-US" w:eastAsia="zh-CN"/>
              </w:rPr>
              <w:t>统装置的生产依据成熟工艺,模式固定，因此标准8.3条款“产品和服务的设计和开发”要求不适用</w:t>
            </w:r>
            <w:r>
              <w:rPr>
                <w:rFonts w:hint="eastAsia" w:ascii="宋体" w:hAnsi="宋体"/>
                <w:szCs w:val="21"/>
                <w:lang w:val="en-US" w:eastAsia="zh-CN"/>
              </w:rPr>
              <w:t xml:space="preserve">,不适用理由合理。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2"/>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3"/>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rPr>
                <w:rFonts w:hint="eastAsia" w:ascii="宋体" w:hAnsi="宋体"/>
                <w:sz w:val="21"/>
                <w:szCs w:val="21"/>
                <w:lang w:val="en-US" w:eastAsia="zh-CN"/>
              </w:rPr>
            </w:pPr>
            <w:r>
              <w:rPr>
                <w:rFonts w:hint="eastAsia" w:ascii="宋体" w:hAnsi="宋体"/>
                <w:sz w:val="21"/>
                <w:szCs w:val="21"/>
                <w:lang w:val="en-US" w:eastAsia="zh-CN"/>
              </w:rPr>
              <w:t>1. 产品一次合格率达95%以上；</w:t>
            </w:r>
          </w:p>
          <w:p>
            <w:pPr>
              <w:rPr>
                <w:rFonts w:hint="eastAsia" w:ascii="宋体" w:hAnsi="宋体"/>
                <w:sz w:val="21"/>
                <w:szCs w:val="21"/>
                <w:lang w:val="en-US" w:eastAsia="zh-CN"/>
              </w:rPr>
            </w:pPr>
            <w:r>
              <w:rPr>
                <w:rFonts w:hint="eastAsia" w:ascii="宋体" w:hAnsi="宋体"/>
                <w:sz w:val="21"/>
                <w:szCs w:val="21"/>
                <w:lang w:val="en-US" w:eastAsia="zh-CN"/>
              </w:rPr>
              <w:t xml:space="preserve">2. </w:t>
            </w:r>
            <w:r>
              <w:rPr>
                <w:rFonts w:hint="eastAsia" w:ascii="宋体" w:hAnsi="宋体"/>
                <w:sz w:val="21"/>
                <w:szCs w:val="21"/>
              </w:rPr>
              <w:t>产品出厂合格率</w:t>
            </w:r>
            <w:r>
              <w:rPr>
                <w:rFonts w:hint="eastAsia" w:ascii="宋体" w:hAnsi="宋体"/>
                <w:sz w:val="21"/>
                <w:szCs w:val="21"/>
                <w:lang w:val="en-US" w:eastAsia="zh-CN"/>
              </w:rPr>
              <w:t>达到</w:t>
            </w:r>
            <w:r>
              <w:rPr>
                <w:rFonts w:hint="eastAsia" w:ascii="宋体" w:hAnsi="宋体"/>
                <w:sz w:val="21"/>
                <w:szCs w:val="21"/>
              </w:rPr>
              <w:t>100%</w:t>
            </w:r>
            <w:r>
              <w:rPr>
                <w:rFonts w:hint="eastAsia" w:ascii="宋体" w:hAnsi="宋体"/>
                <w:sz w:val="21"/>
                <w:szCs w:val="21"/>
                <w:lang w:val="en-US" w:eastAsia="zh-CN"/>
              </w:rPr>
              <w:t>；</w:t>
            </w:r>
          </w:p>
          <w:p>
            <w:pPr>
              <w:spacing w:line="360" w:lineRule="auto"/>
              <w:jc w:val="left"/>
              <w:rPr>
                <w:rFonts w:ascii="宋体" w:hAnsi="宋体"/>
                <w:b/>
                <w:color w:val="000000" w:themeColor="text1"/>
              </w:rPr>
            </w:pPr>
            <w:r>
              <w:rPr>
                <w:rFonts w:hint="eastAsia" w:ascii="宋体" w:hAnsi="宋体"/>
                <w:sz w:val="21"/>
                <w:szCs w:val="21"/>
                <w:lang w:val="en-US" w:eastAsia="zh-CN"/>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numPr>
                <w:ilvl w:val="0"/>
                <w:numId w:val="0"/>
              </w:numPr>
              <w:rPr>
                <w:rFonts w:ascii="宋体" w:hAnsi="宋体"/>
                <w:b/>
                <w:color w:val="000000" w:themeColor="text1"/>
                <w:sz w:val="20"/>
                <w:szCs w:val="20"/>
              </w:rPr>
            </w:pPr>
            <w:r>
              <w:rPr>
                <w:rFonts w:hint="eastAsia" w:ascii="宋体" w:hAnsi="宋体"/>
                <w:bCs/>
                <w:iCs/>
                <w:highlight w:val="none"/>
              </w:rPr>
              <w:t>厂房</w:t>
            </w:r>
            <w:r>
              <w:rPr>
                <w:rFonts w:hint="eastAsia" w:ascii="宋体" w:hAnsi="宋体"/>
                <w:szCs w:val="21"/>
                <w:highlight w:val="none"/>
              </w:rPr>
              <w:t>面积</w:t>
            </w:r>
            <w:r>
              <w:rPr>
                <w:rFonts w:hint="eastAsia" w:ascii="宋体" w:hAnsi="宋体"/>
                <w:szCs w:val="21"/>
                <w:highlight w:val="none"/>
                <w:lang w:val="en-US" w:eastAsia="zh-CN"/>
              </w:rPr>
              <w:t>22</w:t>
            </w:r>
            <w:r>
              <w:rPr>
                <w:rFonts w:hint="eastAsia" w:ascii="宋体" w:hAnsi="宋体"/>
                <w:szCs w:val="21"/>
                <w:highlight w:val="none"/>
              </w:rPr>
              <w:t>00平方米左右，车间、库房分开，办公场所面积</w:t>
            </w:r>
            <w:r>
              <w:rPr>
                <w:rFonts w:hint="eastAsia" w:ascii="宋体" w:hAnsi="宋体"/>
                <w:szCs w:val="21"/>
                <w:highlight w:val="none"/>
                <w:lang w:val="en-US" w:eastAsia="zh-CN"/>
              </w:rPr>
              <w:t>300</w:t>
            </w:r>
            <w:r>
              <w:rPr>
                <w:rFonts w:hint="eastAsia" w:ascii="宋体" w:hAnsi="宋体"/>
                <w:szCs w:val="21"/>
                <w:highlight w:val="none"/>
              </w:rPr>
              <w:t>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ascii="宋体" w:hAnsi="宋体" w:cs="Times New Roman"/>
                <w:szCs w:val="21"/>
                <w:highlight w:val="none"/>
                <w:lang w:val="en-US" w:eastAsia="zh-CN"/>
              </w:rPr>
              <w:t>电动螺丝刀、电洛铁、电脑、ORT移动式老化设备、模拟电路器、烧录器等。</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hint="default" w:ascii="宋体" w:hAnsi="宋体" w:eastAsia="宋体"/>
                <w:b/>
                <w:color w:val="000000" w:themeColor="text1"/>
                <w:sz w:val="20"/>
                <w:szCs w:val="20"/>
                <w:lang w:val="en-US" w:eastAsia="zh-CN"/>
              </w:rPr>
            </w:pPr>
            <w:r>
              <w:rPr>
                <w:rFonts w:hint="eastAsia" w:ascii="宋体" w:hAnsi="宋体" w:cs="宋体"/>
                <w:color w:val="000000"/>
                <w:szCs w:val="21"/>
                <w:highlight w:val="none"/>
              </w:rPr>
              <w:t>生产车间及检验部门均按策划的要求配置了相应的检测设备，</w:t>
            </w:r>
            <w:r>
              <w:rPr>
                <w:rFonts w:hint="eastAsia" w:ascii="宋体" w:hAnsi="宋体"/>
                <w:b w:val="0"/>
                <w:bCs w:val="0"/>
                <w:szCs w:val="21"/>
                <w:highlight w:val="none"/>
                <w:lang w:val="en-US" w:eastAsia="zh-CN"/>
              </w:rPr>
              <w:t xml:space="preserve"> 现场查看公司检测仪器为租赁的成都交大许继电气有限责任公司的检测仪器，提供有与该厂家的设备租赁协议，及校准证书，详见附件。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4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sz w:val="24"/>
                <w:szCs w:val="24"/>
                <w:lang w:eastAsia="zh-CN"/>
              </w:rPr>
              <w:t>行政部</w:t>
            </w:r>
            <w:r>
              <w:rPr>
                <w:rFonts w:hint="eastAsia" w:ascii="宋体" w:hAnsi="宋体"/>
                <w:sz w:val="24"/>
                <w:szCs w:val="24"/>
                <w:lang w:val="en-US" w:eastAsia="zh-CN"/>
              </w:rPr>
              <w:t>不符合标准7.5条款，2020年7</w:t>
            </w:r>
            <w:r>
              <w:rPr>
                <w:rFonts w:hint="eastAsia" w:ascii="宋体" w:hAnsi="宋体"/>
                <w:sz w:val="24"/>
                <w:szCs w:val="24"/>
              </w:rPr>
              <w:t>月份</w:t>
            </w:r>
            <w:r>
              <w:rPr>
                <w:rFonts w:hint="eastAsia" w:ascii="宋体" w:hAnsi="宋体"/>
                <w:sz w:val="24"/>
                <w:szCs w:val="24"/>
                <w:lang w:val="en-US" w:eastAsia="zh-CN"/>
              </w:rPr>
              <w:t>管理文件未按要求归档不便于检索</w:t>
            </w:r>
            <w:r>
              <w:rPr>
                <w:rFonts w:hint="eastAsia" w:ascii="宋体" w:hAnsi="宋体" w:cs="宋体"/>
                <w:szCs w:val="24"/>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24</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ascii="宋体" w:hAnsi="宋体" w:cs="宋体"/>
                <w:color w:val="000000" w:themeColor="text1"/>
                <w:szCs w:val="22"/>
                <w:lang w:val="en-US" w:eastAsia="zh-CN"/>
              </w:rPr>
              <w:t>经本次验证上次不符合8.4.1条款本次未出现类似情况。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2</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b/>
          <w:kern w:val="0"/>
          <w:sz w:val="20"/>
          <w:szCs w:val="20"/>
        </w:rPr>
        <w:drawing>
          <wp:anchor distT="0" distB="0" distL="114300" distR="114300" simplePos="0" relativeHeight="251676672" behindDoc="0" locked="0" layoutInCell="1" allowOverlap="1">
            <wp:simplePos x="0" y="0"/>
            <wp:positionH relativeFrom="column">
              <wp:posOffset>1729740</wp:posOffset>
            </wp:positionH>
            <wp:positionV relativeFrom="paragraph">
              <wp:posOffset>273050</wp:posOffset>
            </wp:positionV>
            <wp:extent cx="408305" cy="288290"/>
            <wp:effectExtent l="0" t="0" r="10795" b="1651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6"/>
                    <a:stretch>
                      <a:fillRect/>
                    </a:stretch>
                  </pic:blipFill>
                  <pic:spPr>
                    <a:xfrm>
                      <a:off x="0" y="0"/>
                      <a:ext cx="408305" cy="28829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2021年01月26日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rFonts w:hint="eastAsia"/>
          <w:b/>
          <w:sz w:val="21"/>
          <w:szCs w:val="21"/>
          <w:lang w:val="en-US" w:eastAsia="zh-CN"/>
        </w:rPr>
        <w:t xml:space="preserve"> </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9" w:firstLineChars="343"/>
        <w:rPr>
          <w:rFonts w:hint="eastAsia"/>
          <w:b/>
          <w:sz w:val="21"/>
          <w:szCs w:val="21"/>
        </w:rPr>
      </w:pPr>
      <w:r>
        <w:rPr>
          <w:rFonts w:hint="eastAsia" w:ascii="宋体" w:hAnsi="宋体"/>
          <w:b/>
          <w:kern w:val="0"/>
          <w:sz w:val="20"/>
          <w:szCs w:val="20"/>
        </w:rPr>
        <w:drawing>
          <wp:anchor distT="0" distB="0" distL="114300" distR="114300" simplePos="0" relativeHeight="251696128" behindDoc="0" locked="0" layoutInCell="1" allowOverlap="1">
            <wp:simplePos x="0" y="0"/>
            <wp:positionH relativeFrom="column">
              <wp:posOffset>1227455</wp:posOffset>
            </wp:positionH>
            <wp:positionV relativeFrom="paragraph">
              <wp:posOffset>205105</wp:posOffset>
            </wp:positionV>
            <wp:extent cx="374015" cy="264160"/>
            <wp:effectExtent l="0" t="0" r="6985" b="254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374015" cy="264160"/>
                    </a:xfrm>
                    <a:prstGeom prst="rect">
                      <a:avLst/>
                    </a:prstGeom>
                    <a:noFill/>
                    <a:ln>
                      <a:noFill/>
                    </a:ln>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507675"/>
    <w:rsid w:val="09A63EC2"/>
    <w:rsid w:val="0FF65D59"/>
    <w:rsid w:val="100C6512"/>
    <w:rsid w:val="106D1798"/>
    <w:rsid w:val="128852CF"/>
    <w:rsid w:val="15276FD8"/>
    <w:rsid w:val="19137D7F"/>
    <w:rsid w:val="197D55A3"/>
    <w:rsid w:val="1C632830"/>
    <w:rsid w:val="1D225C8E"/>
    <w:rsid w:val="240666AF"/>
    <w:rsid w:val="245961C7"/>
    <w:rsid w:val="26121E10"/>
    <w:rsid w:val="28F77A4F"/>
    <w:rsid w:val="2E0E4B6F"/>
    <w:rsid w:val="3A573F4B"/>
    <w:rsid w:val="3ADF6404"/>
    <w:rsid w:val="3DCB05EF"/>
    <w:rsid w:val="4382225D"/>
    <w:rsid w:val="47430720"/>
    <w:rsid w:val="493679CC"/>
    <w:rsid w:val="552709D8"/>
    <w:rsid w:val="58A515CD"/>
    <w:rsid w:val="59626932"/>
    <w:rsid w:val="597F70E8"/>
    <w:rsid w:val="5B37123A"/>
    <w:rsid w:val="5B81202C"/>
    <w:rsid w:val="5D91081A"/>
    <w:rsid w:val="6030213B"/>
    <w:rsid w:val="6034494A"/>
    <w:rsid w:val="60C425BE"/>
    <w:rsid w:val="6AFD34FC"/>
    <w:rsid w:val="71B42296"/>
    <w:rsid w:val="74332ADA"/>
    <w:rsid w:val="76655AC1"/>
    <w:rsid w:val="7A826E33"/>
    <w:rsid w:val="7D6266C8"/>
    <w:rsid w:val="7DD91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2021-01-26T02:20:53Z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