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096"/>
        <w:gridCol w:w="1118"/>
        <w:gridCol w:w="1345"/>
        <w:gridCol w:w="1446"/>
        <w:gridCol w:w="1400"/>
        <w:gridCol w:w="1200"/>
        <w:gridCol w:w="21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00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0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保定智盛环境卫生清洁有限公司</w:t>
            </w:r>
            <w:bookmarkEnd w:id="4"/>
          </w:p>
        </w:tc>
        <w:tc>
          <w:tcPr>
            <w:tcW w:w="120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5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bookmarkStart w:id="5" w:name="专业代码"/>
            <w:r>
              <w:rPr>
                <w:b/>
                <w:sz w:val="20"/>
              </w:rPr>
              <w:t>Q：35.1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;35.1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E：35.1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;35.1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O：35.1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;35.1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b/>
                <w:sz w:val="20"/>
              </w:rPr>
              <w:t>.0</w:t>
            </w:r>
            <w:bookmarkEnd w:id="5"/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00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刘鹏涛</w:t>
            </w: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审核现场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96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刘玉兰</w:t>
            </w:r>
          </w:p>
        </w:tc>
        <w:tc>
          <w:tcPr>
            <w:tcW w:w="13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周文廷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3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E:35.15.00</w:t>
            </w: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Q:35.17.00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0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668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住宅小区保洁服务流程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1确定卫生清洁范围，2制定卫生清洁方案，3组织清洁人员进行环境卫生清洁 4组织部门领导进行卫生清洁验收。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专业保洁服务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（其它清洁活动）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1确定保洁服务范围，2制定保洁服务方案，3组织保洁人员进行环境卫生清洁 4组织部门领导进行卫生清洁验收。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0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668" w:type="dxa"/>
            <w:gridSpan w:val="6"/>
            <w:vAlign w:val="center"/>
          </w:tcPr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住宅小区保洁服务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关键控制点：定期清理是环境卫生管理关键控制点。1定期清理工作场所，工作场所不放置与工作无关的物品，设立人物品统一放置场所。2按照本单位的清洁计划开展工作场所清洁工作，保持工作场所的清洁。3配备加盖密闭垃圾桶，最好是脚踏式开启，套垃圾袋后使用，垃圾不超过桶高的四分之三，垃圾至少每天清除一次，并每天清洗垃圾桶，定期消毒。</w:t>
            </w:r>
          </w:p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专业保洁服务关键控制点：卫生原则，凡是肉眼能看到，手能摸到的地方均要保持干净，公共使用的服务设施要随时清理，工作时注意方式方法，注意不要损毁物品。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对保洁人员，卫生清洁人员不定期进行岗位培训，并进行相关业务考核，以提高服务质量。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0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668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废水的排放</w:t>
            </w:r>
          </w:p>
          <w:p>
            <w:pPr>
              <w:numPr>
                <w:ilvl w:val="0"/>
                <w:numId w:val="2"/>
              </w:num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员工饮用水2、清洁环境用水  重要环境影响：污染水体。控制措施：员工节约用水意识培训，在公司内部黏贴宣传标语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ind w:left="0" w:leftChars="0" w:firstLine="0" w:firstLineChars="0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电的消耗</w:t>
            </w:r>
          </w:p>
          <w:p>
            <w:pPr>
              <w:numPr>
                <w:ilvl w:val="0"/>
                <w:numId w:val="3"/>
              </w:numPr>
              <w:snapToGrid w:val="0"/>
              <w:spacing w:line="280" w:lineRule="exact"/>
              <w:ind w:leftChars="0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照明用电2、办公设备用电 3、作业设备用电 重要环境影响：能源消耗。控制措施：员工节能降耗意识培训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ind w:left="0" w:leftChars="0" w:firstLine="0" w:firstLineChars="0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垃圾清运</w:t>
            </w:r>
          </w:p>
          <w:p>
            <w:pPr>
              <w:numPr>
                <w:ilvl w:val="0"/>
                <w:numId w:val="0"/>
              </w:numPr>
              <w:snapToGrid w:val="0"/>
              <w:spacing w:line="280" w:lineRule="exact"/>
              <w:ind w:left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1、垃圾的遗撒2、垃圾清运产生灰尘  重要环境影响：固废排放、粉尘排放。 控制措施：控制装载量、清运人员及时检查、  管理部门抽查、 采取有效控制措施（洒水、遮挡等）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0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668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危险源：化学灼伤、高空坠落、交通事故等。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控制措施：危险源一般分为：轻微、 一般、重大、经常性和突发性五类  对全员不定期进行安全教育培训，并组织员工进行安全事项演练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0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668" w:type="dxa"/>
            <w:gridSpan w:val="6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《综合排放标准》</w:t>
            </w:r>
            <w:r>
              <w:rPr>
                <w:rFonts w:ascii="宋体" w:hAnsi="宋体"/>
                <w:sz w:val="18"/>
                <w:szCs w:val="18"/>
              </w:rPr>
              <w:t>GB 8978 1996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《保定市污水综合排放标准》DB11 307- 2009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《大气污染物综合排放标准》GB16297－1996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《大气污染物综合排放标准》DB11-501—2007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《社会生活环境噪声排放标准》 GB 22337—2008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《机关、团体、企业、事业单位消防安全管理规定》2001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《特种设备安全法》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0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668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005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668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eastAsia"/>
          <w:b/>
          <w:sz w:val="18"/>
          <w:szCs w:val="18"/>
        </w:rPr>
      </w:pPr>
      <w:r>
        <w:rPr>
          <w:rFonts w:hint="eastAsia" w:ascii="宋体"/>
          <w:b/>
          <w:sz w:val="22"/>
          <w:szCs w:val="22"/>
          <w:highlight w:val="none"/>
        </w:rPr>
        <w:t>填表人</w:t>
      </w:r>
      <w:r>
        <w:rPr>
          <w:rFonts w:ascii="宋体"/>
          <w:b/>
          <w:sz w:val="22"/>
          <w:szCs w:val="22"/>
          <w:highlight w:val="none"/>
        </w:rPr>
        <w:t>(</w:t>
      </w:r>
      <w:r>
        <w:rPr>
          <w:rFonts w:hint="eastAsia" w:ascii="宋体"/>
          <w:b/>
          <w:sz w:val="22"/>
          <w:szCs w:val="22"/>
          <w:highlight w:val="none"/>
        </w:rPr>
        <w:t>专业人员</w:t>
      </w:r>
      <w:r>
        <w:rPr>
          <w:rFonts w:ascii="宋体"/>
          <w:b/>
          <w:sz w:val="22"/>
          <w:szCs w:val="22"/>
          <w:highlight w:val="none"/>
        </w:rPr>
        <w:t>)</w:t>
      </w:r>
      <w:r>
        <w:rPr>
          <w:rFonts w:hint="eastAsia" w:ascii="宋体"/>
          <w:b/>
          <w:sz w:val="18"/>
          <w:szCs w:val="18"/>
          <w:highlight w:val="none"/>
        </w:rPr>
        <w:t>：</w:t>
      </w:r>
      <w:r>
        <w:rPr>
          <w:rFonts w:hint="eastAsia" w:ascii="宋体"/>
          <w:b/>
          <w:sz w:val="18"/>
          <w:szCs w:val="18"/>
        </w:rPr>
        <w:drawing>
          <wp:inline distT="0" distB="0" distL="114300" distR="114300">
            <wp:extent cx="954405" cy="626745"/>
            <wp:effectExtent l="0" t="0" r="10795" b="8255"/>
            <wp:docPr id="2" name="图片 2" descr="214629585143375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46295851433753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2021.4.11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hint="eastAsia"/>
          <w:b/>
          <w:sz w:val="18"/>
          <w:szCs w:val="18"/>
        </w:rPr>
      </w:pPr>
    </w:p>
    <w:p>
      <w:pPr>
        <w:snapToGrid w:val="0"/>
        <w:rPr>
          <w:rFonts w:hint="eastAsia"/>
          <w:b/>
          <w:sz w:val="18"/>
          <w:szCs w:val="18"/>
        </w:rPr>
      </w:pPr>
    </w:p>
    <w:p>
      <w:pPr>
        <w:snapToGrid w:val="0"/>
        <w:rPr>
          <w:rFonts w:hint="eastAsia"/>
          <w:b/>
          <w:sz w:val="18"/>
          <w:szCs w:val="1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1381760</wp:posOffset>
            </wp:positionH>
            <wp:positionV relativeFrom="paragraph">
              <wp:posOffset>84455</wp:posOffset>
            </wp:positionV>
            <wp:extent cx="647700" cy="314325"/>
            <wp:effectExtent l="0" t="0" r="0" b="3175"/>
            <wp:wrapNone/>
            <wp:docPr id="1" name="图片 2" descr="QQ截图20160124084745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截图20160124084745 拷贝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hint="default" w:ascii="宋体"/>
          <w:b/>
          <w:sz w:val="22"/>
          <w:szCs w:val="22"/>
          <w:lang w:val="en-US" w:eastAsia="zh-CN"/>
        </w:rPr>
      </w:pP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 xml:space="preserve">                </w:t>
      </w:r>
      <w:r>
        <w:rPr>
          <w:rFonts w:hint="eastAsia" w:ascii="宋体"/>
          <w:b/>
          <w:sz w:val="22"/>
          <w:szCs w:val="22"/>
          <w:lang w:val="en-US" w:eastAsia="zh-CN"/>
        </w:rPr>
        <w:t>日期：2021.4.11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07F103"/>
    <w:multiLevelType w:val="singleLevel"/>
    <w:tmpl w:val="A307F10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10959AF"/>
    <w:multiLevelType w:val="singleLevel"/>
    <w:tmpl w:val="B10959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6F616AB"/>
    <w:multiLevelType w:val="singleLevel"/>
    <w:tmpl w:val="46F616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DB8628C"/>
    <w:rsid w:val="23841B72"/>
    <w:rsid w:val="30E74C9A"/>
    <w:rsid w:val="31D05DE3"/>
    <w:rsid w:val="39012B8B"/>
    <w:rsid w:val="45701EA0"/>
    <w:rsid w:val="51E90508"/>
    <w:rsid w:val="54603687"/>
    <w:rsid w:val="5F7470B2"/>
    <w:rsid w:val="690251D5"/>
    <w:rsid w:val="789D60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llg881223</cp:lastModifiedBy>
  <dcterms:modified xsi:type="dcterms:W3CDTF">2021-04-20T14:07:13Z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834D856DF4614982A50801359C360145</vt:lpwstr>
  </property>
</Properties>
</file>