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96"/>
        <w:gridCol w:w="1118"/>
        <w:gridCol w:w="1345"/>
        <w:gridCol w:w="1446"/>
        <w:gridCol w:w="1400"/>
        <w:gridCol w:w="1200"/>
        <w:gridCol w:w="2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005" w:type="dxa"/>
            <w:gridSpan w:val="2"/>
            <w:tcBorders>
              <w:top w:val="single" w:color="auto" w:sz="8"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受审核方</w:t>
            </w:r>
          </w:p>
        </w:tc>
        <w:tc>
          <w:tcPr>
            <w:tcW w:w="5309" w:type="dxa"/>
            <w:gridSpan w:val="4"/>
            <w:tcBorders>
              <w:top w:val="single" w:color="auto" w:sz="8"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bookmarkStart w:id="4" w:name="组织名称"/>
            <w:r>
              <w:rPr>
                <w:rFonts w:hint="eastAsia" w:ascii="宋体" w:hAnsi="宋体" w:eastAsia="宋体" w:cs="宋体"/>
                <w:b/>
                <w:sz w:val="21"/>
                <w:szCs w:val="21"/>
              </w:rPr>
              <w:t>保定智盛环境卫生清洁有限公司</w:t>
            </w:r>
            <w:bookmarkEnd w:id="4"/>
          </w:p>
        </w:tc>
        <w:tc>
          <w:tcPr>
            <w:tcW w:w="1200" w:type="dxa"/>
            <w:tcBorders>
              <w:top w:val="single" w:color="auto" w:sz="8" w:space="0"/>
            </w:tcBorders>
            <w:vAlign w:val="center"/>
          </w:tcPr>
          <w:p>
            <w:pPr>
              <w:keepNext w:val="0"/>
              <w:keepLines w:val="0"/>
              <w:pageBreakBefore w:val="0"/>
              <w:widowControl w:val="0"/>
              <w:kinsoku/>
              <w:wordWrap/>
              <w:overflowPunct/>
              <w:topLinePunct w:val="0"/>
              <w:bidi w:val="0"/>
              <w:snapToGrid w:val="0"/>
              <w:spacing w:line="280" w:lineRule="exact"/>
              <w:ind w:left="52"/>
              <w:jc w:val="center"/>
              <w:textAlignment w:val="auto"/>
              <w:rPr>
                <w:rFonts w:hint="eastAsia" w:ascii="宋体" w:hAnsi="宋体" w:eastAsia="宋体" w:cs="宋体"/>
                <w:b/>
                <w:sz w:val="21"/>
                <w:szCs w:val="21"/>
              </w:rPr>
            </w:pPr>
            <w:r>
              <w:rPr>
                <w:rFonts w:hint="eastAsia" w:ascii="宋体" w:hAnsi="宋体" w:eastAsia="宋体" w:cs="宋体"/>
                <w:b/>
                <w:sz w:val="21"/>
                <w:szCs w:val="21"/>
              </w:rPr>
              <w:t>专业小类/</w:t>
            </w:r>
          </w:p>
          <w:p>
            <w:pPr>
              <w:keepNext w:val="0"/>
              <w:keepLines w:val="0"/>
              <w:pageBreakBefore w:val="0"/>
              <w:widowControl w:val="0"/>
              <w:kinsoku/>
              <w:wordWrap/>
              <w:overflowPunct/>
              <w:topLinePunct w:val="0"/>
              <w:bidi w:val="0"/>
              <w:snapToGrid w:val="0"/>
              <w:spacing w:line="280" w:lineRule="exact"/>
              <w:ind w:left="52"/>
              <w:jc w:val="center"/>
              <w:textAlignment w:val="auto"/>
              <w:rPr>
                <w:rFonts w:hint="eastAsia" w:ascii="宋体" w:hAnsi="宋体" w:eastAsia="宋体" w:cs="宋体"/>
                <w:b/>
                <w:sz w:val="21"/>
                <w:szCs w:val="21"/>
              </w:rPr>
            </w:pPr>
            <w:r>
              <w:rPr>
                <w:rFonts w:hint="eastAsia" w:ascii="宋体" w:hAnsi="宋体" w:eastAsia="宋体" w:cs="宋体"/>
                <w:b/>
                <w:sz w:val="21"/>
                <w:szCs w:val="21"/>
              </w:rPr>
              <w:t>项目代码</w:t>
            </w:r>
          </w:p>
        </w:tc>
        <w:tc>
          <w:tcPr>
            <w:tcW w:w="2159" w:type="dxa"/>
            <w:tcBorders>
              <w:top w:val="single" w:color="auto" w:sz="8" w:space="0"/>
            </w:tcBorders>
            <w:vAlign w:val="center"/>
          </w:tcPr>
          <w:p>
            <w:pPr>
              <w:keepNext w:val="0"/>
              <w:keepLines w:val="0"/>
              <w:pageBreakBefore w:val="0"/>
              <w:widowControl w:val="0"/>
              <w:kinsoku/>
              <w:wordWrap/>
              <w:overflowPunct/>
              <w:topLinePunct w:val="0"/>
              <w:bidi w:val="0"/>
              <w:snapToGrid w:val="0"/>
              <w:spacing w:line="280" w:lineRule="exact"/>
              <w:ind w:left="52"/>
              <w:jc w:val="center"/>
              <w:textAlignment w:val="auto"/>
              <w:rPr>
                <w:rFonts w:hint="eastAsia" w:ascii="宋体" w:hAnsi="宋体" w:eastAsia="宋体" w:cs="宋体"/>
                <w:b/>
                <w:sz w:val="21"/>
                <w:szCs w:val="21"/>
              </w:rPr>
            </w:pPr>
            <w:bookmarkStart w:id="5" w:name="专业代码"/>
            <w:r>
              <w:rPr>
                <w:rFonts w:hint="eastAsia" w:ascii="宋体" w:hAnsi="宋体" w:eastAsia="宋体" w:cs="宋体"/>
                <w:b/>
                <w:sz w:val="21"/>
                <w:szCs w:val="21"/>
              </w:rPr>
              <w:t>Q：35.15.00;35.17.00</w:t>
            </w:r>
          </w:p>
          <w:p>
            <w:pPr>
              <w:keepNext w:val="0"/>
              <w:keepLines w:val="0"/>
              <w:pageBreakBefore w:val="0"/>
              <w:widowControl w:val="0"/>
              <w:kinsoku/>
              <w:wordWrap/>
              <w:overflowPunct/>
              <w:topLinePunct w:val="0"/>
              <w:bidi w:val="0"/>
              <w:snapToGrid w:val="0"/>
              <w:spacing w:line="280" w:lineRule="exact"/>
              <w:ind w:left="52"/>
              <w:jc w:val="center"/>
              <w:textAlignment w:val="auto"/>
              <w:rPr>
                <w:rFonts w:hint="eastAsia" w:ascii="宋体" w:hAnsi="宋体" w:eastAsia="宋体" w:cs="宋体"/>
                <w:b/>
                <w:sz w:val="21"/>
                <w:szCs w:val="21"/>
              </w:rPr>
            </w:pPr>
            <w:r>
              <w:rPr>
                <w:rFonts w:hint="eastAsia" w:ascii="宋体" w:hAnsi="宋体" w:eastAsia="宋体" w:cs="宋体"/>
                <w:b/>
                <w:sz w:val="21"/>
                <w:szCs w:val="21"/>
              </w:rPr>
              <w:t>E：35.15.00;35.17.00</w:t>
            </w:r>
          </w:p>
          <w:p>
            <w:pPr>
              <w:keepNext w:val="0"/>
              <w:keepLines w:val="0"/>
              <w:pageBreakBefore w:val="0"/>
              <w:widowControl w:val="0"/>
              <w:kinsoku/>
              <w:wordWrap/>
              <w:overflowPunct/>
              <w:topLinePunct w:val="0"/>
              <w:bidi w:val="0"/>
              <w:snapToGrid w:val="0"/>
              <w:spacing w:line="280" w:lineRule="exact"/>
              <w:ind w:left="52"/>
              <w:jc w:val="center"/>
              <w:textAlignment w:val="auto"/>
              <w:rPr>
                <w:rFonts w:hint="eastAsia" w:ascii="宋体" w:hAnsi="宋体" w:eastAsia="宋体" w:cs="宋体"/>
                <w:b/>
                <w:sz w:val="21"/>
                <w:szCs w:val="21"/>
              </w:rPr>
            </w:pPr>
            <w:r>
              <w:rPr>
                <w:rFonts w:hint="eastAsia" w:ascii="宋体" w:hAnsi="宋体" w:eastAsia="宋体" w:cs="宋体"/>
                <w:b/>
                <w:sz w:val="21"/>
                <w:szCs w:val="21"/>
              </w:rPr>
              <w:t>O：35.15.00;35.17.00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005" w:type="dxa"/>
            <w:gridSpan w:val="2"/>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教师姓名</w:t>
            </w:r>
          </w:p>
        </w:tc>
        <w:tc>
          <w:tcPr>
            <w:tcW w:w="2463" w:type="dxa"/>
            <w:gridSpan w:val="2"/>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val="0"/>
                <w:bCs w:val="0"/>
                <w:sz w:val="21"/>
                <w:szCs w:val="21"/>
              </w:rPr>
              <w:t>刘鹏涛</w:t>
            </w:r>
          </w:p>
        </w:tc>
        <w:tc>
          <w:tcPr>
            <w:tcW w:w="1446"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专业</w:t>
            </w:r>
          </w:p>
        </w:tc>
        <w:tc>
          <w:tcPr>
            <w:tcW w:w="1400"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见上</w:t>
            </w:r>
          </w:p>
        </w:tc>
        <w:tc>
          <w:tcPr>
            <w:tcW w:w="1200"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培训地点</w:t>
            </w:r>
          </w:p>
        </w:tc>
        <w:tc>
          <w:tcPr>
            <w:tcW w:w="2159"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审核现场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9" w:type="dxa"/>
            <w:vMerge w:val="restart"/>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受培训人员</w:t>
            </w:r>
          </w:p>
        </w:tc>
        <w:tc>
          <w:tcPr>
            <w:tcW w:w="1096"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姓名</w:t>
            </w:r>
          </w:p>
        </w:tc>
        <w:tc>
          <w:tcPr>
            <w:tcW w:w="1118"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刘玉兰</w:t>
            </w:r>
          </w:p>
        </w:tc>
        <w:tc>
          <w:tcPr>
            <w:tcW w:w="1345"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张星</w:t>
            </w:r>
          </w:p>
        </w:tc>
        <w:tc>
          <w:tcPr>
            <w:tcW w:w="1446"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周文廷</w:t>
            </w:r>
          </w:p>
        </w:tc>
        <w:tc>
          <w:tcPr>
            <w:tcW w:w="1400"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c>
          <w:tcPr>
            <w:tcW w:w="1200"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c>
          <w:tcPr>
            <w:tcW w:w="2159"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09" w:type="dxa"/>
            <w:vMerge w:val="continue"/>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c>
          <w:tcPr>
            <w:tcW w:w="1096"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专业代码</w:t>
            </w:r>
          </w:p>
        </w:tc>
        <w:tc>
          <w:tcPr>
            <w:tcW w:w="1118"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p>
        </w:tc>
        <w:tc>
          <w:tcPr>
            <w:tcW w:w="1345"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E:35.15.00</w:t>
            </w:r>
          </w:p>
        </w:tc>
        <w:tc>
          <w:tcPr>
            <w:tcW w:w="1446"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Q:35.17.00</w:t>
            </w:r>
          </w:p>
        </w:tc>
        <w:tc>
          <w:tcPr>
            <w:tcW w:w="1400"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c>
          <w:tcPr>
            <w:tcW w:w="1200"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c>
          <w:tcPr>
            <w:tcW w:w="2159" w:type="dxa"/>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005" w:type="dxa"/>
            <w:gridSpan w:val="2"/>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生产工艺/</w:t>
            </w:r>
          </w:p>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服务过程</w:t>
            </w:r>
          </w:p>
        </w:tc>
        <w:tc>
          <w:tcPr>
            <w:tcW w:w="8668" w:type="dxa"/>
            <w:gridSpan w:val="6"/>
            <w:vAlign w:val="center"/>
          </w:tcPr>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物业管理服务流程</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物业的接管验收</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入伙</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安全护卫服务</w:t>
            </w: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环卫保洁服务</w:t>
            </w: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环境保洁服务</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机电、本体维修维护</w:t>
            </w: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客户管理服务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保安管理服务流程：</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值班巡逻：每1小时巡视一遍所辖区域。</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接到突发事件信息：3分钟赶到现场。</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体技能训练：每周4次。</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绿化服务流程</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配备和培训环境绿化管理人员</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营造物业绿地</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设计物业绿地</w:t>
            </w: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选择绿化植物</w:t>
            </w:r>
            <w:r>
              <w:rPr>
                <w:rFonts w:hint="eastAsia" w:ascii="宋体" w:hAnsi="宋体" w:eastAsia="宋体" w:cs="宋体"/>
                <w:sz w:val="21"/>
                <w:szCs w:val="21"/>
                <w:lang w:eastAsia="zh-CN"/>
              </w:rPr>
              <w:t>；</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确定植物配置的方式</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进行绿地营造施工</w:t>
            </w:r>
            <w:r>
              <w:rPr>
                <w:rFonts w:hint="eastAsia" w:ascii="宋体" w:hAnsi="宋体" w:eastAsia="宋体" w:cs="宋体"/>
                <w:sz w:val="21"/>
                <w:szCs w:val="21"/>
                <w:lang w:eastAsia="zh-CN"/>
              </w:rPr>
              <w:t>；</w:t>
            </w: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日常维护8</w:t>
            </w:r>
            <w:r>
              <w:rPr>
                <w:rFonts w:hint="eastAsia" w:ascii="宋体" w:hAnsi="宋体" w:eastAsia="宋体" w:cs="宋体"/>
                <w:sz w:val="21"/>
                <w:szCs w:val="21"/>
                <w:lang w:val="en-US" w:eastAsia="zh-CN"/>
              </w:rPr>
              <w:t>.</w:t>
            </w:r>
            <w:r>
              <w:rPr>
                <w:rFonts w:hint="eastAsia" w:ascii="宋体" w:hAnsi="宋体" w:eastAsia="宋体" w:cs="宋体"/>
                <w:sz w:val="21"/>
                <w:szCs w:val="21"/>
              </w:rPr>
              <w:t>巡视看</w:t>
            </w:r>
            <w:r>
              <w:rPr>
                <w:rFonts w:hint="eastAsia" w:ascii="宋体" w:hAnsi="宋体" w:eastAsia="宋体" w:cs="宋体"/>
                <w:sz w:val="21"/>
                <w:szCs w:val="21"/>
                <w:lang w:val="en-US" w:eastAsia="zh-CN"/>
              </w:rPr>
              <w:t>察。</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四、环境卫生服务流程</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1.确定卫生清洁范围，2.指定卫生清洁方案，3.组织清洁人员进行环境卫生清洁， 4.组织部门领导进行卫生清洁验收。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005" w:type="dxa"/>
            <w:gridSpan w:val="2"/>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生产过程/服务过程</w:t>
            </w:r>
          </w:p>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的风险及控制措施</w:t>
            </w:r>
          </w:p>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特殊过程的控制/</w:t>
            </w:r>
          </w:p>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p>
        </w:tc>
        <w:tc>
          <w:tcPr>
            <w:tcW w:w="8668" w:type="dxa"/>
            <w:gridSpan w:val="6"/>
            <w:vAlign w:val="center"/>
          </w:tcPr>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一、绿化服务关键控制点：</w:t>
            </w:r>
          </w:p>
          <w:p>
            <w:pPr>
              <w:keepNext w:val="0"/>
              <w:keepLines w:val="0"/>
              <w:pageBreakBefore w:val="0"/>
              <w:widowControl w:val="0"/>
              <w:kinsoku/>
              <w:wordWrap/>
              <w:overflowPunct/>
              <w:topLinePunct w:val="0"/>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化养护管理是绿化服务的关键控制点，对园林植物进行长期的抚育管理工作，对养护工作的监管应把握其自身的特点，寻求有效控制点，目标和过程不能只取其一，应加以侧重，建立动态监控体系，并长期服务于绿化服务领域，采取有效园林绿化的养护管理工作。</w:t>
            </w:r>
          </w:p>
          <w:p>
            <w:pPr>
              <w:keepNext w:val="0"/>
              <w:keepLines w:val="0"/>
              <w:pageBreakBefore w:val="0"/>
              <w:widowControl w:val="0"/>
              <w:numPr>
                <w:ilvl w:val="0"/>
                <w:numId w:val="1"/>
              </w:numPr>
              <w:kinsoku/>
              <w:wordWrap/>
              <w:overflowPunct/>
              <w:topLinePunct w:val="0"/>
              <w:bidi w:val="0"/>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保安管理关键控制点：</w:t>
            </w:r>
          </w:p>
          <w:p>
            <w:pPr>
              <w:keepNext w:val="0"/>
              <w:keepLines w:val="0"/>
              <w:pageBreakBefore w:val="0"/>
              <w:widowControl w:val="0"/>
              <w:numPr>
                <w:numId w:val="0"/>
              </w:numPr>
              <w:kinsoku/>
              <w:wordWrap/>
              <w:overflowPunct/>
              <w:topLinePunct w:val="0"/>
              <w:bidi w:val="0"/>
              <w:spacing w:line="2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区域巡视是保安是保安日常工作内容，对管理区域的关键和重要公共设备的控制点要了解并掌握到位，只有了解了控制点在巡视时发现各种突发情况才能准确判定并采取相应措施。</w:t>
            </w:r>
          </w:p>
          <w:p>
            <w:pPr>
              <w:keepNext w:val="0"/>
              <w:keepLines w:val="0"/>
              <w:pageBreakBefore w:val="0"/>
              <w:widowControl w:val="0"/>
              <w:numPr>
                <w:ilvl w:val="0"/>
                <w:numId w:val="1"/>
              </w:numPr>
              <w:kinsoku/>
              <w:wordWrap/>
              <w:overflowPunct/>
              <w:topLinePunct w:val="0"/>
              <w:bidi w:val="0"/>
              <w:spacing w:line="28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卫生清洁关键控制点：</w:t>
            </w:r>
          </w:p>
          <w:p>
            <w:pPr>
              <w:keepNext w:val="0"/>
              <w:keepLines w:val="0"/>
              <w:pageBreakBefore w:val="0"/>
              <w:widowControl w:val="0"/>
              <w:numPr>
                <w:numId w:val="0"/>
              </w:numPr>
              <w:kinsoku/>
              <w:wordWrap/>
              <w:overflowPunct/>
              <w:topLinePunct w:val="0"/>
              <w:bidi w:val="0"/>
              <w:spacing w:line="28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卫生原则，凡是肉眼能看到，手能摸到的地方均要保持干净，公共使用的服务设施要随时清理，工作时注意方式方法，注意不要损毁物品。</w:t>
            </w:r>
          </w:p>
          <w:p>
            <w:pPr>
              <w:keepNext w:val="0"/>
              <w:keepLines w:val="0"/>
              <w:pageBreakBefore w:val="0"/>
              <w:widowControl w:val="0"/>
              <w:kinsoku/>
              <w:wordWrap/>
              <w:overflowPunct/>
              <w:topLinePunct w:val="0"/>
              <w:bidi w:val="0"/>
              <w:snapToGrid w:val="0"/>
              <w:spacing w:line="280" w:lineRule="exact"/>
              <w:ind w:firstLine="420" w:firstLineChars="200"/>
              <w:jc w:val="both"/>
              <w:textAlignment w:val="auto"/>
              <w:rPr>
                <w:rFonts w:hint="eastAsia" w:ascii="宋体" w:hAnsi="宋体" w:eastAsia="宋体" w:cs="宋体"/>
                <w:b/>
                <w:sz w:val="21"/>
                <w:szCs w:val="21"/>
                <w:lang w:val="en-US"/>
              </w:rPr>
            </w:pPr>
            <w:r>
              <w:rPr>
                <w:rFonts w:hint="eastAsia" w:ascii="宋体" w:hAnsi="宋体" w:eastAsia="宋体" w:cs="宋体"/>
                <w:sz w:val="21"/>
                <w:szCs w:val="21"/>
                <w:lang w:val="en-US" w:eastAsia="zh-CN"/>
              </w:rPr>
              <w:t>对物业人员，保安人员，卫生清洁人员不定期进行岗位培训，并进行相关业务考核，以提高服务质量。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005" w:type="dxa"/>
            <w:gridSpan w:val="2"/>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重要环境</w:t>
            </w:r>
          </w:p>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bookmarkStart w:id="6" w:name="_GoBack"/>
            <w:bookmarkEnd w:id="6"/>
            <w:r>
              <w:rPr>
                <w:rFonts w:hint="eastAsia" w:ascii="宋体" w:hAnsi="宋体" w:eastAsia="宋体" w:cs="宋体"/>
                <w:b/>
                <w:sz w:val="21"/>
                <w:szCs w:val="21"/>
              </w:rPr>
              <w:t>及控制措施</w:t>
            </w:r>
          </w:p>
        </w:tc>
        <w:tc>
          <w:tcPr>
            <w:tcW w:w="8668" w:type="dxa"/>
            <w:gridSpan w:val="6"/>
            <w:vAlign w:val="center"/>
          </w:tcPr>
          <w:p>
            <w:pPr>
              <w:keepNext w:val="0"/>
              <w:keepLines w:val="0"/>
              <w:pageBreakBefore w:val="0"/>
              <w:widowControl w:val="0"/>
              <w:numPr>
                <w:ilvl w:val="0"/>
                <w:numId w:val="2"/>
              </w:numPr>
              <w:kinsoku/>
              <w:wordWrap/>
              <w:overflowPunct/>
              <w:topLinePunct w:val="0"/>
              <w:bidi w:val="0"/>
              <w:snapToGrid w:val="0"/>
              <w:spacing w:line="28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废水的排放</w:t>
            </w:r>
          </w:p>
          <w:p>
            <w:pPr>
              <w:keepNext w:val="0"/>
              <w:keepLines w:val="0"/>
              <w:pageBreakBefore w:val="0"/>
              <w:widowControl w:val="0"/>
              <w:numPr>
                <w:ilvl w:val="0"/>
                <w:numId w:val="3"/>
              </w:numPr>
              <w:kinsoku/>
              <w:wordWrap/>
              <w:overflowPunct/>
              <w:topLinePunct w:val="0"/>
              <w:bidi w:val="0"/>
              <w:snapToGrid w:val="0"/>
              <w:spacing w:line="28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员工饮用水2、清洁环境用水  重要环境影响：污染水体。控制措施：员工节约用水意识培训，在公司内部黏贴宣传标语</w:t>
            </w:r>
          </w:p>
          <w:p>
            <w:pPr>
              <w:keepNext w:val="0"/>
              <w:keepLines w:val="0"/>
              <w:pageBreakBefore w:val="0"/>
              <w:widowControl w:val="0"/>
              <w:numPr>
                <w:ilvl w:val="0"/>
                <w:numId w:val="2"/>
              </w:numPr>
              <w:kinsoku/>
              <w:wordWrap/>
              <w:overflowPunct/>
              <w:topLinePunct w:val="0"/>
              <w:bidi w:val="0"/>
              <w:snapToGrid w:val="0"/>
              <w:spacing w:line="280" w:lineRule="exact"/>
              <w:ind w:left="0" w:leftChars="0" w:firstLine="0" w:firstLine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电的消耗</w:t>
            </w:r>
          </w:p>
          <w:p>
            <w:pPr>
              <w:keepNext w:val="0"/>
              <w:keepLines w:val="0"/>
              <w:pageBreakBefore w:val="0"/>
              <w:widowControl w:val="0"/>
              <w:numPr>
                <w:ilvl w:val="0"/>
                <w:numId w:val="4"/>
              </w:numPr>
              <w:kinsoku/>
              <w:wordWrap/>
              <w:overflowPunct/>
              <w:topLinePunct w:val="0"/>
              <w:bidi w:val="0"/>
              <w:snapToGrid w:val="0"/>
              <w:spacing w:line="280" w:lineRule="exact"/>
              <w:ind w:left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照明用电2、办公设备用电 3、作业设备用电 重要环境影响：能源消耗。控制措施：员工节能降耗意识培训</w:t>
            </w:r>
          </w:p>
          <w:p>
            <w:pPr>
              <w:keepNext w:val="0"/>
              <w:keepLines w:val="0"/>
              <w:pageBreakBefore w:val="0"/>
              <w:widowControl w:val="0"/>
              <w:numPr>
                <w:ilvl w:val="0"/>
                <w:numId w:val="2"/>
              </w:numPr>
              <w:kinsoku/>
              <w:wordWrap/>
              <w:overflowPunct/>
              <w:topLinePunct w:val="0"/>
              <w:bidi w:val="0"/>
              <w:snapToGrid w:val="0"/>
              <w:spacing w:line="280" w:lineRule="exact"/>
              <w:ind w:left="0" w:leftChars="0" w:firstLine="0" w:firstLine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垃圾清运</w:t>
            </w:r>
          </w:p>
          <w:p>
            <w:pPr>
              <w:keepNext w:val="0"/>
              <w:keepLines w:val="0"/>
              <w:pageBreakBefore w:val="0"/>
              <w:widowControl w:val="0"/>
              <w:numPr>
                <w:ilvl w:val="0"/>
                <w:numId w:val="0"/>
              </w:numPr>
              <w:kinsoku/>
              <w:wordWrap/>
              <w:overflowPunct/>
              <w:topLinePunct w:val="0"/>
              <w:bidi w:val="0"/>
              <w:snapToGrid w:val="0"/>
              <w:spacing w:line="280" w:lineRule="exact"/>
              <w:ind w:left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1、垃圾的遗撒2、垃圾清运产生灰尘  重要环境影响：固废排放、粉尘排放。 控制措施：控制装载量、清运人员及时检查、  管理部门抽查、 采取有效控制措施（洒水、遮挡等）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005" w:type="dxa"/>
            <w:gridSpan w:val="2"/>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不可接受风险的危险源及控制措施</w:t>
            </w:r>
          </w:p>
        </w:tc>
        <w:tc>
          <w:tcPr>
            <w:tcW w:w="8668" w:type="dxa"/>
            <w:gridSpan w:val="6"/>
            <w:vAlign w:val="center"/>
          </w:tcPr>
          <w:p>
            <w:pPr>
              <w:keepNext w:val="0"/>
              <w:keepLines w:val="0"/>
              <w:pageBreakBefore w:val="0"/>
              <w:widowControl w:val="0"/>
              <w:kinsoku/>
              <w:wordWrap/>
              <w:overflowPunct/>
              <w:topLinePunct w:val="0"/>
              <w:bidi w:val="0"/>
              <w:snapToGrid w:val="0"/>
              <w:spacing w:line="28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危险源：火灾、盗窃、机械伤害、触电  高空意外坠落等。</w:t>
            </w:r>
          </w:p>
          <w:p>
            <w:pPr>
              <w:keepNext w:val="0"/>
              <w:keepLines w:val="0"/>
              <w:pageBreakBefore w:val="0"/>
              <w:widowControl w:val="0"/>
              <w:kinsoku/>
              <w:wordWrap/>
              <w:overflowPunct/>
              <w:topLinePunct w:val="0"/>
              <w:bidi w:val="0"/>
              <w:snapToGrid w:val="0"/>
              <w:spacing w:line="28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控制措施：危险源一般分为：轻微、 一般、重大、经常性和突发性五类  对全员不定期进行安全教育培训，并组织员工进行安全事项演练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005" w:type="dxa"/>
            <w:gridSpan w:val="2"/>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相关法律法规的要求及产品标准</w:t>
            </w:r>
          </w:p>
        </w:tc>
        <w:tc>
          <w:tcPr>
            <w:tcW w:w="8668" w:type="dxa"/>
            <w:gridSpan w:val="6"/>
            <w:vAlign w:val="center"/>
          </w:tcPr>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《综合排放标准》GB 8978 1996</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《保定市污水综合排放标准》DB11 307- 2009</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《大气污染物综合排放标准》GB16297－1996</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《大气污染物综合排放标准》DB11-501—2007</w:t>
            </w:r>
          </w:p>
          <w:p>
            <w:pPr>
              <w:keepNext w:val="0"/>
              <w:keepLines w:val="0"/>
              <w:pageBreakBefore w:val="0"/>
              <w:widowControl w:val="0"/>
              <w:kinsoku/>
              <w:wordWrap/>
              <w:overflowPunct/>
              <w:topLinePunct w:val="0"/>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《社会生活环境噪声排放标准》 GB 22337—2008</w:t>
            </w:r>
          </w:p>
          <w:p>
            <w:pPr>
              <w:keepNext w:val="0"/>
              <w:keepLines w:val="0"/>
              <w:pageBreakBefore w:val="0"/>
              <w:widowControl w:val="0"/>
              <w:kinsoku/>
              <w:wordWrap/>
              <w:overflowPunct/>
              <w:topLinePunct w:val="0"/>
              <w:autoSpaceDE w:val="0"/>
              <w:autoSpaceDN w:val="0"/>
              <w:bidi w:val="0"/>
              <w:adjustRightInd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《机关、团体、企业、事业单位消防安全管理规定》2001</w:t>
            </w:r>
          </w:p>
          <w:p>
            <w:pPr>
              <w:keepNext w:val="0"/>
              <w:keepLines w:val="0"/>
              <w:pageBreakBefore w:val="0"/>
              <w:widowControl w:val="0"/>
              <w:kinsoku/>
              <w:wordWrap/>
              <w:overflowPunct/>
              <w:topLinePunct w:val="0"/>
              <w:autoSpaceDE w:val="0"/>
              <w:autoSpaceDN w:val="0"/>
              <w:bidi w:val="0"/>
              <w:adjustRightInd w:val="0"/>
              <w:spacing w:line="280" w:lineRule="exact"/>
              <w:jc w:val="left"/>
              <w:textAlignment w:val="auto"/>
              <w:rPr>
                <w:rFonts w:hint="eastAsia" w:ascii="宋体" w:hAnsi="宋体" w:eastAsia="宋体" w:cs="宋体"/>
                <w:b/>
                <w:sz w:val="21"/>
                <w:szCs w:val="21"/>
              </w:rPr>
            </w:pPr>
            <w:r>
              <w:rPr>
                <w:rFonts w:hint="eastAsia" w:ascii="宋体" w:hAnsi="宋体" w:eastAsia="宋体" w:cs="宋体"/>
                <w:sz w:val="21"/>
                <w:szCs w:val="21"/>
              </w:rPr>
              <w:t>《特种设备安全法》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005" w:type="dxa"/>
            <w:gridSpan w:val="2"/>
            <w:tcBorders>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检验和试验项目及要求(如有型式试验要求,要进行说明)</w:t>
            </w:r>
          </w:p>
        </w:tc>
        <w:tc>
          <w:tcPr>
            <w:tcW w:w="8668" w:type="dxa"/>
            <w:gridSpan w:val="6"/>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005" w:type="dxa"/>
            <w:gridSpan w:val="2"/>
            <w:tcBorders>
              <w:left w:val="single" w:color="auto" w:sz="4" w:space="0"/>
              <w:bottom w:val="single" w:color="auto" w:sz="8"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其它相关知识</w:t>
            </w:r>
          </w:p>
        </w:tc>
        <w:tc>
          <w:tcPr>
            <w:tcW w:w="8668" w:type="dxa"/>
            <w:gridSpan w:val="6"/>
            <w:tcBorders>
              <w:bottom w:val="single" w:color="auto" w:sz="8" w:space="0"/>
            </w:tcBorders>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sz w:val="21"/>
                <w:szCs w:val="21"/>
              </w:rPr>
            </w:pPr>
          </w:p>
        </w:tc>
      </w:tr>
    </w:tbl>
    <w:p>
      <w:pPr>
        <w:snapToGrid w:val="0"/>
        <w:rPr>
          <w:rFonts w:ascii="宋体"/>
          <w:b/>
          <w:sz w:val="22"/>
          <w:szCs w:val="22"/>
        </w:rPr>
      </w:pPr>
    </w:p>
    <w:p>
      <w:pPr>
        <w:snapToGrid w:val="0"/>
        <w:rPr>
          <w:rFonts w:hint="eastAsia"/>
          <w:b/>
          <w:sz w:val="18"/>
          <w:szCs w:val="18"/>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b/>
          <w:sz w:val="22"/>
          <w:szCs w:val="22"/>
        </w:rPr>
        <w:t>日期</w:t>
      </w:r>
      <w:r>
        <w:rPr>
          <w:rFonts w:hint="eastAsia"/>
          <w:b/>
          <w:sz w:val="18"/>
          <w:szCs w:val="18"/>
        </w:rPr>
        <w:t>：</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7F103"/>
    <w:multiLevelType w:val="singleLevel"/>
    <w:tmpl w:val="A307F103"/>
    <w:lvl w:ilvl="0" w:tentative="0">
      <w:start w:val="1"/>
      <w:numFmt w:val="decimal"/>
      <w:suff w:val="nothing"/>
      <w:lvlText w:val="%1、"/>
      <w:lvlJc w:val="left"/>
    </w:lvl>
  </w:abstractNum>
  <w:abstractNum w:abstractNumId="1">
    <w:nsid w:val="B10959AF"/>
    <w:multiLevelType w:val="singleLevel"/>
    <w:tmpl w:val="B10959AF"/>
    <w:lvl w:ilvl="0" w:tentative="0">
      <w:start w:val="1"/>
      <w:numFmt w:val="chineseCounting"/>
      <w:suff w:val="nothing"/>
      <w:lvlText w:val="%1、"/>
      <w:lvlJc w:val="left"/>
      <w:rPr>
        <w:rFonts w:hint="eastAsia"/>
      </w:rPr>
    </w:lvl>
  </w:abstractNum>
  <w:abstractNum w:abstractNumId="2">
    <w:nsid w:val="3F6B51D9"/>
    <w:multiLevelType w:val="singleLevel"/>
    <w:tmpl w:val="3F6B51D9"/>
    <w:lvl w:ilvl="0" w:tentative="0">
      <w:start w:val="2"/>
      <w:numFmt w:val="chineseCounting"/>
      <w:suff w:val="nothing"/>
      <w:lvlText w:val="%1、"/>
      <w:lvlJc w:val="left"/>
      <w:rPr>
        <w:rFonts w:hint="eastAsia"/>
      </w:rPr>
    </w:lvl>
  </w:abstractNum>
  <w:abstractNum w:abstractNumId="3">
    <w:nsid w:val="46F616AB"/>
    <w:multiLevelType w:val="singleLevel"/>
    <w:tmpl w:val="46F616AB"/>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841B72"/>
    <w:rsid w:val="339A0522"/>
    <w:rsid w:val="54603687"/>
    <w:rsid w:val="5F7470B2"/>
    <w:rsid w:val="69025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locked/>
    <w:uiPriority w:val="99"/>
    <w:rPr>
      <w:rFonts w:ascii="Times New Roman" w:hAnsi="Times New Roman" w:eastAsia="宋体" w:cs="Times New Roman"/>
      <w:sz w:val="18"/>
      <w:szCs w:val="18"/>
    </w:rPr>
  </w:style>
  <w:style w:type="character" w:customStyle="1" w:styleId="8">
    <w:name w:val="页眉 字符"/>
    <w:link w:val="4"/>
    <w:qFormat/>
    <w:locked/>
    <w:uiPriority w:val="99"/>
    <w:rPr>
      <w:rFonts w:ascii="Times New Roman" w:hAnsi="Times New Roman" w:eastAsia="宋体" w:cs="Times New Roman"/>
      <w:sz w:val="18"/>
      <w:szCs w:val="18"/>
    </w:rPr>
  </w:style>
  <w:style w:type="character" w:customStyle="1" w:styleId="9">
    <w:name w:val="批注框文本 字符"/>
    <w:link w:val="2"/>
    <w:semiHidden/>
    <w:qFormat/>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50</TotalTime>
  <ScaleCrop>false</ScaleCrop>
  <LinksUpToDate>false</LinksUpToDate>
  <CharactersWithSpaces>314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llg881223</cp:lastModifiedBy>
  <dcterms:modified xsi:type="dcterms:W3CDTF">2021-04-07T01:52:34Z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834D856DF4614982A50801359C360145</vt:lpwstr>
  </property>
</Properties>
</file>