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both"/>
        <w:rPr>
          <w:rFonts w:ascii="楷体" w:hAnsi="楷体" w:eastAsia="楷体"/>
          <w:b/>
          <w:color w:val="000000"/>
          <w:sz w:val="84"/>
          <w:szCs w:val="84"/>
        </w:rPr>
      </w:pPr>
      <w:r>
        <w:rPr>
          <w:rFonts w:hint="eastAsia" w:ascii="楷体" w:hAnsi="楷体" w:eastAsia="楷体"/>
          <w:color w:val="000000"/>
          <w:sz w:val="28"/>
          <w:szCs w:val="28"/>
        </w:rPr>
        <w:t>合同编号：</w:t>
      </w:r>
      <w:bookmarkStart w:id="0" w:name="合同编号"/>
      <w:r>
        <w:rPr>
          <w:color w:val="000000"/>
        </w:rPr>
        <w:t>0507-2019-Q</w:t>
      </w:r>
      <w:bookmarkEnd w:id="0"/>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重庆碟霸机械科技有限公司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重庆碟霸机械科技有限公司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重庆市九龙坡区白市驿镇三多桥村8社15号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重庆市九龙坡区白市驿镇三多桥村8社15号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代玲</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023-65511286</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代玲</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代玲</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三轮摩托车制动系统总成的生产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22.05.01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宋体"/>
          <w:color w:val="000000"/>
          <w:szCs w:val="24"/>
          <w:lang w:eastAsia="zh-CN"/>
        </w:rPr>
      </w:pPr>
      <w:r>
        <w:rPr>
          <w:rFonts w:hint="eastAsia" w:ascii="宋体" w:hAnsi="宋体"/>
          <w:b/>
          <w:color w:val="000000"/>
          <w:sz w:val="20"/>
          <w:szCs w:val="20"/>
        </w:rPr>
        <w:t>部门：</w:t>
      </w:r>
      <w:r>
        <w:rPr>
          <w:rFonts w:hint="eastAsia" w:ascii="宋体" w:hAnsi="宋体" w:cs="宋体"/>
          <w:color w:val="000000"/>
          <w:szCs w:val="24"/>
          <w:lang w:eastAsia="zh-CN"/>
        </w:rPr>
        <w:t>供销部、生产部、行政部、技质部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重庆市九龙坡区白市驿镇三多桥村8社15号</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2</w:t>
            </w:r>
            <w:r>
              <w:rPr>
                <w:rFonts w:hint="eastAsia" w:ascii="宋体" w:hAnsi="宋体"/>
                <w:color w:val="000000" w:themeColor="text1"/>
                <w:sz w:val="20"/>
                <w:szCs w:val="20"/>
              </w:rPr>
              <w:t>）质量管理体系是否删减</w:t>
            </w:r>
          </w:p>
        </w:tc>
        <w:tc>
          <w:tcPr>
            <w:tcW w:w="970" w:type="dxa"/>
            <w:gridSpan w:val="2"/>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3</w:t>
            </w:r>
            <w:r>
              <w:rPr>
                <w:rFonts w:hint="eastAsia" w:ascii="宋体" w:hAnsi="宋体"/>
                <w:color w:val="000000" w:themeColor="text1"/>
                <w:sz w:val="20"/>
                <w:szCs w:val="20"/>
              </w:rPr>
              <w:t xml:space="preserve">）删减是否合理 </w:t>
            </w:r>
          </w:p>
        </w:tc>
        <w:tc>
          <w:tcPr>
            <w:tcW w:w="970" w:type="dxa"/>
            <w:gridSpan w:val="2"/>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合理</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r>
              <w:rPr>
                <w:rFonts w:ascii="宋体" w:hAnsi="宋体"/>
                <w:color w:val="000000" w:themeColor="text1"/>
                <w:sz w:val="20"/>
                <w:szCs w:val="20"/>
              </w:rPr>
              <w:t xml:space="preserve"> </w:t>
            </w:r>
          </w:p>
        </w:tc>
        <w:tc>
          <w:tcPr>
            <w:tcW w:w="970" w:type="dxa"/>
            <w:gridSpan w:val="2"/>
          </w:tcPr>
          <w:p>
            <w:pPr>
              <w:rPr>
                <w:rFonts w:ascii="宋体"/>
                <w:color w:val="000000" w:themeColor="text1"/>
                <w:spacing w:val="-10"/>
                <w:sz w:val="20"/>
                <w:szCs w:val="20"/>
              </w:rPr>
            </w:pPr>
            <w:r>
              <w:rPr>
                <w:rFonts w:hint="eastAsia"/>
                <w:b/>
                <w:color w:val="000000" w:themeColor="text1"/>
                <w:spacing w:val="-10"/>
                <w:szCs w:val="21"/>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cs="MS Mincho"/>
                <w:b/>
                <w:color w:val="000000" w:themeColor="text1"/>
                <w:spacing w:val="-10"/>
                <w:szCs w:val="21"/>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ascii="宋体" w:hAnsi="宋体"/>
                <w:b/>
                <w:color w:val="000000"/>
                <w:sz w:val="20"/>
                <w:szCs w:val="20"/>
              </w:rPr>
              <w:t>三轮摩托车制动系统总成的生产</w:t>
            </w:r>
            <w:r>
              <w:rPr>
                <w:rFonts w:hint="eastAsia" w:ascii="宋体" w:hAnsi="宋体"/>
                <w:szCs w:val="21"/>
              </w:rPr>
              <w:t xml:space="preserve"> </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cs="宋体"/>
                <w:color w:val="000000"/>
                <w:szCs w:val="24"/>
                <w:lang w:eastAsia="zh-CN"/>
              </w:rPr>
              <w:t>供销部、生产部、行政部、技质部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cs="宋体"/>
                <w:color w:val="000000"/>
                <w:szCs w:val="24"/>
                <w:lang w:eastAsia="zh-CN"/>
              </w:rPr>
              <w:t>行政部</w:t>
            </w:r>
          </w:p>
          <w:p>
            <w:pPr>
              <w:tabs>
                <w:tab w:val="left" w:pos="360"/>
              </w:tabs>
              <w:spacing w:beforeLines="50"/>
              <w:ind w:left="357" w:hanging="357"/>
              <w:rPr>
                <w:rFonts w:hint="eastAsia" w:ascii="宋体" w:hAnsi="宋体" w:cs="宋体"/>
                <w:color w:val="000000"/>
                <w:szCs w:val="24"/>
                <w:lang w:eastAsia="zh-CN"/>
              </w:rPr>
            </w:pPr>
            <w:r>
              <w:rPr>
                <w:rFonts w:hint="eastAsia" w:ascii="宋体" w:hAnsi="宋体"/>
                <w:b/>
                <w:color w:val="000000"/>
                <w:sz w:val="20"/>
                <w:szCs w:val="20"/>
              </w:rPr>
              <w:t>质量管理部门：</w:t>
            </w:r>
            <w:r>
              <w:rPr>
                <w:rFonts w:hint="eastAsia" w:ascii="宋体" w:hAnsi="宋体" w:cs="宋体"/>
                <w:color w:val="000000"/>
                <w:szCs w:val="24"/>
                <w:lang w:eastAsia="zh-CN"/>
              </w:rPr>
              <w:t>生产部、技质部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重庆市九龙坡区白市驿镇三多桥村8社15号</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w:t>
            </w:r>
            <w:r>
              <w:rPr>
                <w:rFonts w:hint="eastAsia" w:ascii="宋体" w:hAnsi="宋体"/>
                <w:color w:val="000000"/>
                <w:sz w:val="20"/>
                <w:szCs w:val="20"/>
                <w:lang w:eastAsia="zh-CN"/>
              </w:rPr>
              <w:t>有</w:t>
            </w:r>
            <w:r>
              <w:rPr>
                <w:rFonts w:hint="eastAsia" w:ascii="宋体" w:hAnsi="宋体"/>
                <w:color w:val="000000"/>
                <w:sz w:val="20"/>
                <w:szCs w:val="20"/>
              </w:rPr>
              <w:t xml:space="preserve">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ind w:firstLine="1000" w:firstLineChars="500"/>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sz w:val="21"/>
                <w:szCs w:val="21"/>
              </w:rPr>
            </w:pPr>
            <w:r>
              <w:rPr>
                <w:rFonts w:hint="eastAsia" w:ascii="宋体"/>
                <w:color w:val="000000"/>
                <w:sz w:val="20"/>
                <w:szCs w:val="20"/>
              </w:rPr>
              <w:t>□产品技术标准号：</w:t>
            </w:r>
            <w:r>
              <w:rPr>
                <w:rFonts w:hint="eastAsia" w:ascii="宋体" w:hAnsi="宋体"/>
                <w:sz w:val="21"/>
                <w:szCs w:val="21"/>
                <w:lang w:val="en-US" w:eastAsia="zh-CN"/>
              </w:rPr>
              <w:t>GB/20073-2006摩托车和轻便制动性能要求及验证方法、GB/21861-2008机动车完全检验项目和方法</w:t>
            </w:r>
            <w:r>
              <w:rPr>
                <w:rFonts w:hint="eastAsia" w:ascii="宋体" w:hAnsi="宋体"/>
                <w:sz w:val="21"/>
                <w:szCs w:val="21"/>
              </w:rPr>
              <w:t>等标准</w:t>
            </w:r>
            <w:r>
              <w:rPr>
                <w:rFonts w:hint="eastAsia" w:ascii="宋体" w:hAnsi="宋体"/>
                <w:sz w:val="21"/>
                <w:szCs w:val="21"/>
                <w:lang w:val="en-US" w:eastAsia="zh-CN"/>
              </w:rPr>
              <w:t>以及顾客提供的图纸。</w:t>
            </w:r>
          </w:p>
          <w:p>
            <w:pPr>
              <w:rPr>
                <w:rFonts w:hint="eastAsia" w:ascii="宋体" w:hAnsi="宋体"/>
                <w:sz w:val="21"/>
                <w:szCs w:val="21"/>
              </w:rPr>
            </w:pP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rPr>
              <w:t>现场是否有产品检验报告</w:t>
            </w:r>
            <w:r>
              <w:rPr>
                <w:rFonts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cs="MS Mincho"/>
                <w:color w:val="000000" w:themeColor="text1"/>
                <w:spacing w:val="-10"/>
                <w:sz w:val="20"/>
                <w:szCs w:val="20"/>
                <w:lang w:eastAsia="zh-CN"/>
              </w:rPr>
              <w:t>☑</w:t>
            </w:r>
            <w:r>
              <w:rPr>
                <w:rFonts w:hint="eastAsia" w:ascii="宋体" w:hAnsi="宋体"/>
                <w:color w:val="000000" w:themeColor="text1"/>
                <w:spacing w:val="-10"/>
                <w:sz w:val="20"/>
                <w:szCs w:val="20"/>
              </w:rPr>
              <w:t>否，是否有型式试验报告□是</w:t>
            </w:r>
            <w:r>
              <w:rPr>
                <w:rFonts w:hint="eastAsia" w:ascii="MS Mincho" w:hAnsi="MS Mincho" w:cs="MS Mincho"/>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kinsoku/>
              <w:wordWrap/>
              <w:overflowPunct/>
              <w:topLinePunct w:val="0"/>
              <w:autoSpaceDE/>
              <w:autoSpaceDN/>
              <w:bidi w:val="0"/>
              <w:adjustRightInd/>
              <w:spacing w:line="400" w:lineRule="exact"/>
              <w:ind w:left="0" w:leftChars="0"/>
              <w:textAlignment w:val="auto"/>
              <w:rPr>
                <w:rFonts w:ascii="宋体"/>
                <w:color w:val="000000"/>
                <w:sz w:val="20"/>
                <w:szCs w:val="20"/>
              </w:rPr>
            </w:pPr>
            <w:r>
              <w:rPr>
                <w:rFonts w:hint="eastAsia" w:ascii="宋体" w:hAnsi="宋体"/>
                <w:szCs w:val="21"/>
              </w:rPr>
              <w:t>三轮摩托车制动系统总成的生产的生产</w:t>
            </w:r>
            <w:r>
              <w:rPr>
                <w:rFonts w:hint="eastAsia" w:ascii="宋体" w:hAnsi="宋体"/>
                <w:szCs w:val="21"/>
                <w:lang w:eastAsia="zh-CN"/>
              </w:rPr>
              <w:t>工艺流程：</w:t>
            </w:r>
            <w:r>
              <w:rPr>
                <w:rFonts w:hint="eastAsia" w:ascii="宋体" w:hAnsi="宋体"/>
                <w:szCs w:val="21"/>
                <w:lang w:val="en-US" w:eastAsia="zh-CN"/>
              </w:rPr>
              <w:t>原料采购—打孔、镗孔—喷涂（外协）—组装—成品检验—包装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zCs w:val="21"/>
                <w:lang w:eastAsia="zh-CN"/>
              </w:rPr>
              <w:t>组装过程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olor w:val="000000" w:themeColor="text1"/>
                <w:spacing w:val="-10"/>
                <w:sz w:val="20"/>
                <w:szCs w:val="20"/>
                <w:lang w:eastAsia="zh-CN"/>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eastAsia="zh-CN"/>
              </w:rPr>
            </w:pPr>
            <w:r>
              <w:rPr>
                <w:rFonts w:hint="eastAsia" w:ascii="宋体" w:hAnsi="宋体"/>
                <w:color w:val="000000"/>
                <w:spacing w:val="-10"/>
                <w:sz w:val="20"/>
                <w:szCs w:val="20"/>
              </w:rPr>
              <w:t>主要</w:t>
            </w:r>
            <w:r>
              <w:rPr>
                <w:rFonts w:hint="eastAsia" w:ascii="宋体" w:hAnsi="宋体"/>
                <w:color w:val="000000" w:themeColor="text1"/>
                <w:spacing w:val="-10"/>
                <w:sz w:val="20"/>
                <w:szCs w:val="20"/>
              </w:rPr>
              <w:t>设备：</w:t>
            </w:r>
            <w:r>
              <w:rPr>
                <w:rFonts w:hint="eastAsia" w:ascii="宋体" w:hAnsi="宋体"/>
                <w:color w:val="000000"/>
                <w:spacing w:val="-10"/>
                <w:sz w:val="20"/>
                <w:szCs w:val="20"/>
                <w:lang w:val="en-US" w:eastAsia="zh-CN"/>
              </w:rPr>
              <w:t>数控车床、液压机、微型车床、铣床、钻床、攻丝机、焊机、后桥装配流水线</w:t>
            </w:r>
            <w:r>
              <w:rPr>
                <w:rFonts w:hint="eastAsia" w:ascii="宋体" w:hAnsi="宋体"/>
                <w:color w:val="000000"/>
                <w:spacing w:val="-10"/>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s="宋体"/>
                <w:sz w:val="21"/>
                <w:szCs w:val="21"/>
                <w:lang w:eastAsia="zh-CN"/>
              </w:rPr>
              <w:t>游标卡尺、</w:t>
            </w:r>
            <w:r>
              <w:rPr>
                <w:rFonts w:hint="eastAsia" w:ascii="宋体" w:hAnsi="宋体" w:cs="宋体"/>
                <w:sz w:val="21"/>
                <w:szCs w:val="21"/>
                <w:lang w:val="en-US" w:eastAsia="zh-CN"/>
              </w:rPr>
              <w:t>外径千分尺和百分表、压力表</w:t>
            </w:r>
            <w:r>
              <w:rPr>
                <w:rFonts w:hint="eastAsia" w:ascii="宋体" w:hAnsi="宋体" w:cs="宋体"/>
                <w:sz w:val="21"/>
                <w:szCs w:val="21"/>
                <w:lang w:eastAsia="zh-CN"/>
              </w:rPr>
              <w:t>等未能提供有效校准证书。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生产现场</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rPr>
              <w:t>2019年</w:t>
            </w:r>
            <w:r>
              <w:rPr>
                <w:rFonts w:hint="eastAsia"/>
                <w:sz w:val="21"/>
                <w:szCs w:val="21"/>
                <w:lang w:val="en-US" w:eastAsia="zh-CN"/>
              </w:rPr>
              <w:t>8</w:t>
            </w:r>
            <w:r>
              <w:rPr>
                <w:rFonts w:hint="eastAsia"/>
                <w:sz w:val="21"/>
                <w:szCs w:val="21"/>
              </w:rPr>
              <w:t>月</w:t>
            </w:r>
            <w:r>
              <w:rPr>
                <w:rFonts w:hint="eastAsia"/>
                <w:sz w:val="21"/>
                <w:szCs w:val="21"/>
                <w:lang w:val="en-US" w:eastAsia="zh-CN"/>
              </w:rPr>
              <w:t>10</w:t>
            </w:r>
            <w:r>
              <w:rPr>
                <w:rFonts w:hint="eastAsia"/>
                <w:szCs w:val="21"/>
              </w:rPr>
              <w:t>日进行了内部审核。内部审核组组成：</w:t>
            </w:r>
            <w:r>
              <w:rPr>
                <w:rFonts w:hint="eastAsia" w:ascii="宋体" w:hAnsi="宋体" w:cs="宋体"/>
                <w:color w:val="000000"/>
              </w:rPr>
              <w:t>组</w:t>
            </w:r>
            <w:r>
              <w:rPr>
                <w:rFonts w:hint="eastAsia" w:ascii="宋体" w:hAnsi="宋体"/>
                <w:kern w:val="0"/>
                <w:sz w:val="21"/>
                <w:szCs w:val="21"/>
                <w:lang w:eastAsia="zh-CN"/>
              </w:rPr>
              <w:t xml:space="preserve">长： 代玲 </w:t>
            </w:r>
            <w:r>
              <w:rPr>
                <w:rFonts w:hint="eastAsia" w:ascii="宋体" w:hAnsi="宋体"/>
                <w:kern w:val="0"/>
                <w:sz w:val="21"/>
                <w:szCs w:val="21"/>
                <w:lang w:val="en-US" w:eastAsia="zh-CN"/>
              </w:rPr>
              <w:t>(管代、行政部）</w:t>
            </w:r>
            <w:r>
              <w:rPr>
                <w:rFonts w:hint="eastAsia" w:ascii="宋体" w:hAnsi="宋体"/>
                <w:kern w:val="0"/>
                <w:sz w:val="21"/>
                <w:szCs w:val="21"/>
                <w:lang w:eastAsia="zh-CN"/>
              </w:rPr>
              <w:t xml:space="preserve">      组员： 况伦（技质部）</w:t>
            </w:r>
            <w:r>
              <w:rPr>
                <w:rFonts w:hint="eastAsia"/>
                <w:sz w:val="21"/>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40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40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20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b/>
          <w:color w:val="000000"/>
          <w:sz w:val="20"/>
          <w:szCs w:val="20"/>
        </w:rPr>
        <w:t>重庆市九龙坡区白市驿镇三多桥村8社15号</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受审核方：重庆碟霸机械科技有限公司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hint="eastAsia" w:ascii="宋体" w:eastAsia="宋体"/>
                <w:color w:val="000000" w:themeColor="text1"/>
                <w:sz w:val="24"/>
                <w:szCs w:val="24"/>
                <w:lang w:val="en-US" w:eastAsia="zh-CN"/>
              </w:rPr>
            </w:pPr>
            <w:r>
              <w:rPr>
                <w:rFonts w:hint="eastAsia" w:ascii="宋体"/>
                <w:color w:val="000000" w:themeColor="text1"/>
                <w:sz w:val="24"/>
                <w:szCs w:val="24"/>
                <w:lang w:val="en-US" w:eastAsia="zh-CN"/>
              </w:rPr>
              <w:t>1</w:t>
            </w: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hint="eastAsia" w:ascii="宋体" w:eastAsia="宋体"/>
                <w:color w:val="FF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抽查在用检测设备的检定或校准证书,</w:t>
            </w:r>
            <w:r>
              <w:rPr>
                <w:rFonts w:hint="eastAsia" w:ascii="宋体" w:hAnsi="宋体" w:cs="宋体"/>
                <w:sz w:val="21"/>
                <w:szCs w:val="21"/>
                <w:lang w:eastAsia="zh-CN"/>
              </w:rPr>
              <w:t>游标卡尺、</w:t>
            </w:r>
            <w:r>
              <w:rPr>
                <w:rFonts w:hint="eastAsia" w:ascii="宋体" w:hAnsi="宋体" w:cs="宋体"/>
                <w:sz w:val="21"/>
                <w:szCs w:val="21"/>
                <w:lang w:val="en-US" w:eastAsia="zh-CN"/>
              </w:rPr>
              <w:t>外径千分尺和百分表、压力表不</w:t>
            </w:r>
            <w:r>
              <w:rPr>
                <w:rFonts w:hint="eastAsia" w:ascii="宋体" w:hAnsi="宋体" w:eastAsia="宋体" w:cs="Times New Roman"/>
                <w:kern w:val="2"/>
                <w:sz w:val="21"/>
                <w:szCs w:val="21"/>
                <w:lang w:val="en-US" w:eastAsia="zh-CN" w:bidi="ar-SA"/>
              </w:rPr>
              <w:t>能提供有效的校准检定证书</w:t>
            </w:r>
            <w:r>
              <w:rPr>
                <w:rFonts w:hint="eastAsia" w:ascii="宋体" w:hAnsi="宋体" w:cs="Times New Roman"/>
                <w:kern w:val="2"/>
                <w:sz w:val="21"/>
                <w:szCs w:val="21"/>
                <w:lang w:val="en-US" w:eastAsia="zh-CN" w:bidi="ar-SA"/>
              </w:rPr>
              <w:t>。</w:t>
            </w: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themeColor="text1"/>
                <w:sz w:val="21"/>
                <w:szCs w:val="21"/>
              </w:rPr>
            </w:pPr>
          </w:p>
          <w:p>
            <w:pPr>
              <w:pStyle w:val="4"/>
              <w:pBdr>
                <w:bottom w:val="none" w:color="auto" w:sz="0" w:space="0"/>
              </w:pBdr>
              <w:ind w:right="600"/>
              <w:jc w:val="left"/>
              <w:rPr>
                <w:color w:val="000000" w:themeColor="text1"/>
                <w:sz w:val="21"/>
                <w:szCs w:val="21"/>
              </w:rPr>
            </w:pPr>
            <w:r>
              <w:rPr>
                <w:rFonts w:hint="eastAsia"/>
                <w:color w:val="000000" w:themeColor="text1"/>
                <w:sz w:val="21"/>
                <w:szCs w:val="21"/>
              </w:rPr>
              <w:t>GB/T19001-2016</w:t>
            </w:r>
          </w:p>
          <w:p>
            <w:pPr>
              <w:pStyle w:val="4"/>
              <w:pBdr>
                <w:bottom w:val="none" w:color="auto" w:sz="0" w:space="0"/>
              </w:pBdr>
              <w:ind w:right="600"/>
              <w:jc w:val="left"/>
              <w:rPr>
                <w:color w:val="000000" w:themeColor="text1"/>
                <w:sz w:val="21"/>
                <w:szCs w:val="21"/>
              </w:rPr>
            </w:pPr>
          </w:p>
          <w:p>
            <w:pPr>
              <w:pStyle w:val="4"/>
              <w:pBdr>
                <w:bottom w:val="none" w:color="auto" w:sz="0" w:space="0"/>
              </w:pBdr>
              <w:ind w:right="600"/>
              <w:jc w:val="left"/>
              <w:rPr>
                <w:color w:val="000000" w:themeColor="text1"/>
                <w:sz w:val="21"/>
                <w:szCs w:val="21"/>
              </w:rPr>
            </w:pPr>
          </w:p>
          <w:p>
            <w:pPr>
              <w:pStyle w:val="4"/>
              <w:pBdr>
                <w:bottom w:val="none" w:color="auto" w:sz="0" w:space="0"/>
              </w:pBdr>
              <w:ind w:right="600"/>
              <w:jc w:val="left"/>
              <w:rPr>
                <w:color w:val="000000" w:themeColor="text1"/>
                <w:sz w:val="21"/>
                <w:szCs w:val="21"/>
              </w:rPr>
            </w:pPr>
          </w:p>
          <w:p>
            <w:pPr>
              <w:pStyle w:val="4"/>
              <w:pBdr>
                <w:bottom w:val="none" w:color="auto" w:sz="0" w:space="0"/>
              </w:pBdr>
              <w:ind w:right="600"/>
              <w:jc w:val="left"/>
              <w:rPr>
                <w:color w:val="000000" w:themeColor="text1"/>
                <w:sz w:val="21"/>
                <w:szCs w:val="21"/>
              </w:rPr>
            </w:pPr>
          </w:p>
          <w:p>
            <w:pPr>
              <w:pStyle w:val="4"/>
              <w:pBdr>
                <w:bottom w:val="none" w:color="auto" w:sz="0" w:space="0"/>
              </w:pBdr>
              <w:ind w:right="600"/>
              <w:jc w:val="left"/>
              <w:rPr>
                <w:color w:val="000000" w:themeColor="text1"/>
                <w:sz w:val="21"/>
                <w:szCs w:val="21"/>
              </w:rPr>
            </w:pPr>
          </w:p>
          <w:p>
            <w:pPr>
              <w:pStyle w:val="4"/>
              <w:pBdr>
                <w:bottom w:val="none" w:color="auto" w:sz="0" w:space="0"/>
              </w:pBdr>
              <w:ind w:right="600"/>
              <w:jc w:val="left"/>
              <w:rPr>
                <w:rFonts w:hint="default" w:eastAsia="宋体"/>
                <w:color w:val="000000" w:themeColor="text1"/>
                <w:sz w:val="21"/>
                <w:szCs w:val="21"/>
                <w:lang w:val="en-US" w:eastAsia="zh-CN"/>
              </w:rPr>
            </w:pPr>
          </w:p>
        </w:tc>
        <w:tc>
          <w:tcPr>
            <w:tcW w:w="1811" w:type="dxa"/>
          </w:tcPr>
          <w:p>
            <w:pPr>
              <w:pStyle w:val="4"/>
              <w:pBdr>
                <w:bottom w:val="none" w:color="auto" w:sz="0" w:space="0"/>
              </w:pBdr>
              <w:ind w:right="600"/>
              <w:jc w:val="left"/>
              <w:rPr>
                <w:rFonts w:hint="default" w:eastAsia="宋体"/>
                <w:color w:val="000000" w:themeColor="text1"/>
                <w:sz w:val="21"/>
                <w:szCs w:val="21"/>
                <w:lang w:val="en-US" w:eastAsia="zh-CN"/>
              </w:rPr>
            </w:pPr>
            <w:r>
              <w:rPr>
                <w:rFonts w:hint="eastAsia"/>
                <w:color w:val="000000" w:themeColor="text1"/>
                <w:sz w:val="21"/>
                <w:szCs w:val="21"/>
                <w:lang w:val="en-US" w:eastAsia="zh-CN"/>
              </w:rPr>
              <w:t>7.1.5.2</w:t>
            </w:r>
          </w:p>
          <w:p>
            <w:pPr>
              <w:pStyle w:val="4"/>
              <w:pBdr>
                <w:bottom w:val="none" w:color="auto" w:sz="0" w:space="0"/>
              </w:pBdr>
              <w:ind w:right="600"/>
              <w:jc w:val="left"/>
              <w:rPr>
                <w:color w:val="000000" w:themeColor="text1"/>
                <w:sz w:val="32"/>
                <w:szCs w:val="32"/>
              </w:rPr>
            </w:pPr>
          </w:p>
          <w:p>
            <w:pPr>
              <w:pStyle w:val="4"/>
              <w:pBdr>
                <w:bottom w:val="none" w:color="auto" w:sz="0" w:space="0"/>
              </w:pBdr>
              <w:ind w:right="600"/>
              <w:jc w:val="left"/>
              <w:rPr>
                <w:color w:val="000000" w:themeColor="text1"/>
                <w:sz w:val="32"/>
                <w:szCs w:val="32"/>
              </w:rPr>
            </w:pPr>
          </w:p>
          <w:p>
            <w:pPr>
              <w:pStyle w:val="4"/>
              <w:pBdr>
                <w:bottom w:val="none" w:color="auto" w:sz="0" w:space="0"/>
              </w:pBdr>
              <w:ind w:right="600"/>
              <w:jc w:val="left"/>
              <w:rPr>
                <w:color w:val="000000" w:themeColor="text1"/>
                <w:sz w:val="32"/>
                <w:szCs w:val="32"/>
              </w:rPr>
            </w:pPr>
          </w:p>
          <w:p>
            <w:pPr>
              <w:pStyle w:val="4"/>
              <w:pBdr>
                <w:bottom w:val="none" w:color="auto" w:sz="0" w:space="0"/>
              </w:pBdr>
              <w:ind w:right="600"/>
              <w:jc w:val="left"/>
              <w:rPr>
                <w:color w:val="000000" w:themeColor="text1"/>
                <w:sz w:val="32"/>
                <w:szCs w:val="32"/>
              </w:rPr>
            </w:pPr>
          </w:p>
          <w:p>
            <w:pPr>
              <w:pStyle w:val="4"/>
              <w:pBdr>
                <w:bottom w:val="none" w:color="auto" w:sz="0" w:space="0"/>
              </w:pBdr>
              <w:ind w:right="600"/>
              <w:jc w:val="left"/>
              <w:rPr>
                <w:rFonts w:hint="default" w:eastAsia="宋体"/>
                <w:color w:val="000000" w:themeColor="text1"/>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☑二阶段</w:t>
            </w:r>
            <w:r>
              <w:rPr>
                <w:rFonts w:hint="eastAsia"/>
                <w:b/>
                <w:color w:val="000000"/>
                <w:spacing w:val="-10"/>
                <w:szCs w:val="21"/>
              </w:rPr>
              <w:t>未</w:t>
            </w:r>
            <w:r>
              <w:rPr>
                <w:rFonts w:hint="eastAsia"/>
                <w:b/>
                <w:color w:val="000000"/>
                <w:szCs w:val="21"/>
              </w:rPr>
              <w:t>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23</w:t>
            </w:r>
            <w:bookmarkStart w:id="17" w:name="_GoBack"/>
            <w:bookmarkEnd w:id="17"/>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6C65CC"/>
    <w:rsid w:val="03A83FA1"/>
    <w:rsid w:val="073E53EB"/>
    <w:rsid w:val="08A769EB"/>
    <w:rsid w:val="0B1F24B2"/>
    <w:rsid w:val="0C8275B4"/>
    <w:rsid w:val="0D26506B"/>
    <w:rsid w:val="0F256DF2"/>
    <w:rsid w:val="0F6755B5"/>
    <w:rsid w:val="107D19A6"/>
    <w:rsid w:val="11FF7655"/>
    <w:rsid w:val="13905027"/>
    <w:rsid w:val="18241DD6"/>
    <w:rsid w:val="1B7C5D4F"/>
    <w:rsid w:val="1CB91E8D"/>
    <w:rsid w:val="1E9E0F00"/>
    <w:rsid w:val="21912F89"/>
    <w:rsid w:val="24CE6858"/>
    <w:rsid w:val="2AF40DDA"/>
    <w:rsid w:val="2AF555A2"/>
    <w:rsid w:val="2B383B52"/>
    <w:rsid w:val="37AF4BEA"/>
    <w:rsid w:val="38412413"/>
    <w:rsid w:val="3C335731"/>
    <w:rsid w:val="3D333694"/>
    <w:rsid w:val="3F2266C8"/>
    <w:rsid w:val="40737706"/>
    <w:rsid w:val="41CA360A"/>
    <w:rsid w:val="42317FF1"/>
    <w:rsid w:val="44153258"/>
    <w:rsid w:val="46F219BF"/>
    <w:rsid w:val="49916B26"/>
    <w:rsid w:val="4AC10456"/>
    <w:rsid w:val="4DC951D7"/>
    <w:rsid w:val="4E7F1263"/>
    <w:rsid w:val="4F163653"/>
    <w:rsid w:val="533A3EED"/>
    <w:rsid w:val="53535CF4"/>
    <w:rsid w:val="5C1C5C3E"/>
    <w:rsid w:val="5CC237FA"/>
    <w:rsid w:val="5D7A00A7"/>
    <w:rsid w:val="5DEE6D1B"/>
    <w:rsid w:val="5F8D3C9B"/>
    <w:rsid w:val="5FE6444C"/>
    <w:rsid w:val="62D57D8A"/>
    <w:rsid w:val="62D838CB"/>
    <w:rsid w:val="640B1E0C"/>
    <w:rsid w:val="647F5BA5"/>
    <w:rsid w:val="656206D1"/>
    <w:rsid w:val="667978D5"/>
    <w:rsid w:val="6AF45348"/>
    <w:rsid w:val="6BBB1423"/>
    <w:rsid w:val="6BF216D2"/>
    <w:rsid w:val="6C3949E6"/>
    <w:rsid w:val="6C4E4063"/>
    <w:rsid w:val="6C8B60DE"/>
    <w:rsid w:val="6CB121D3"/>
    <w:rsid w:val="701F7C21"/>
    <w:rsid w:val="7165663F"/>
    <w:rsid w:val="73F04CA8"/>
    <w:rsid w:val="749F3376"/>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2019-10-24T06:14:06Z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