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80" w:lineRule="exact"/>
        <w:jc w:val="center"/>
        <w:rPr>
          <w:rFonts w:ascii="隶书" w:hAnsi="宋体" w:eastAsia="隶书"/>
          <w:bCs/>
          <w:color w:val="000000"/>
          <w:sz w:val="36"/>
          <w:szCs w:val="36"/>
        </w:rPr>
      </w:pPr>
      <w:r>
        <w:rPr>
          <w:rFonts w:hint="eastAsia" w:ascii="隶书" w:hAnsi="宋体" w:eastAsia="隶书"/>
          <w:bCs/>
          <w:color w:val="000000"/>
          <w:sz w:val="36"/>
          <w:szCs w:val="36"/>
        </w:rPr>
        <w:t>管理体系审核记录表</w:t>
      </w:r>
    </w:p>
    <w:tbl>
      <w:tblPr>
        <w:tblStyle w:val="6"/>
        <w:tblW w:w="1470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60"/>
        <w:gridCol w:w="1209"/>
        <w:gridCol w:w="9755"/>
        <w:gridCol w:w="158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</w:trPr>
        <w:tc>
          <w:tcPr>
            <w:tcW w:w="2160" w:type="dxa"/>
            <w:vMerge w:val="restart"/>
            <w:vAlign w:val="center"/>
          </w:tcPr>
          <w:p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过程与活动、</w:t>
            </w:r>
          </w:p>
          <w:p>
            <w:pPr>
              <w:jc w:val="center"/>
            </w:pPr>
            <w:r>
              <w:rPr>
                <w:rFonts w:hint="eastAsia"/>
                <w:sz w:val="24"/>
                <w:szCs w:val="24"/>
              </w:rPr>
              <w:t>抽样计划</w:t>
            </w:r>
          </w:p>
        </w:tc>
        <w:tc>
          <w:tcPr>
            <w:tcW w:w="1209" w:type="dxa"/>
            <w:vMerge w:val="restart"/>
            <w:vAlign w:val="center"/>
          </w:tcPr>
          <w:p>
            <w:r>
              <w:rPr>
                <w:rFonts w:hint="eastAsia"/>
                <w:sz w:val="24"/>
                <w:szCs w:val="24"/>
              </w:rPr>
              <w:t>涉及条款</w:t>
            </w:r>
          </w:p>
        </w:tc>
        <w:tc>
          <w:tcPr>
            <w:tcW w:w="9755" w:type="dxa"/>
            <w:vAlign w:val="center"/>
          </w:tcPr>
          <w:p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受审核部门：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 xml:space="preserve">财务部 </w:t>
            </w:r>
            <w:r>
              <w:rPr>
                <w:rFonts w:hint="eastAsia"/>
                <w:sz w:val="24"/>
                <w:szCs w:val="24"/>
              </w:rPr>
              <w:t xml:space="preserve">    主管领导</w:t>
            </w:r>
            <w:r>
              <w:rPr>
                <w:rFonts w:hint="eastAsia"/>
                <w:sz w:val="24"/>
                <w:szCs w:val="24"/>
                <w:lang w:eastAsia="zh-CN"/>
              </w:rPr>
              <w:t>：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徐义和      联系人：杨亮</w:t>
            </w:r>
            <w:r>
              <w:rPr>
                <w:rFonts w:hint="eastAsia"/>
                <w:sz w:val="24"/>
                <w:szCs w:val="24"/>
              </w:rPr>
              <w:t xml:space="preserve">    </w:t>
            </w:r>
          </w:p>
        </w:tc>
        <w:tc>
          <w:tcPr>
            <w:tcW w:w="1585" w:type="dxa"/>
            <w:vMerge w:val="restart"/>
            <w:vAlign w:val="center"/>
          </w:tcPr>
          <w:p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判定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2160" w:type="dxa"/>
            <w:vMerge w:val="continue"/>
            <w:vAlign w:val="center"/>
          </w:tcPr>
          <w:p/>
        </w:tc>
        <w:tc>
          <w:tcPr>
            <w:tcW w:w="1209" w:type="dxa"/>
            <w:vMerge w:val="continue"/>
            <w:vAlign w:val="center"/>
          </w:tcPr>
          <w:p/>
        </w:tc>
        <w:tc>
          <w:tcPr>
            <w:tcW w:w="9755" w:type="dxa"/>
            <w:vAlign w:val="center"/>
          </w:tcPr>
          <w:p>
            <w:pPr>
              <w:spacing w:before="120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sz w:val="24"/>
                <w:szCs w:val="24"/>
              </w:rPr>
              <w:t>审核员：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 xml:space="preserve">杨杰      </w:t>
            </w:r>
            <w:r>
              <w:rPr>
                <w:rFonts w:hint="eastAsia"/>
                <w:sz w:val="24"/>
                <w:szCs w:val="24"/>
              </w:rPr>
              <w:t xml:space="preserve">  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 xml:space="preserve">   </w:t>
            </w:r>
            <w:r>
              <w:rPr>
                <w:rFonts w:hint="eastAsia"/>
                <w:sz w:val="24"/>
                <w:szCs w:val="24"/>
              </w:rPr>
              <w:t>审核时间：</w:t>
            </w:r>
            <w:r>
              <w:rPr>
                <w:sz w:val="24"/>
                <w:szCs w:val="24"/>
              </w:rPr>
              <w:t>20</w:t>
            </w:r>
            <w:r>
              <w:rPr>
                <w:rFonts w:hint="eastAsia"/>
                <w:sz w:val="24"/>
                <w:szCs w:val="24"/>
              </w:rPr>
              <w:t>2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1</w:t>
            </w:r>
            <w:r>
              <w:rPr>
                <w:rFonts w:hint="eastAsia"/>
                <w:sz w:val="24"/>
                <w:szCs w:val="24"/>
              </w:rPr>
              <w:t>.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/>
                <w:sz w:val="24"/>
                <w:szCs w:val="24"/>
              </w:rPr>
              <w:t>.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4</w:t>
            </w:r>
          </w:p>
        </w:tc>
        <w:tc>
          <w:tcPr>
            <w:tcW w:w="1585" w:type="dxa"/>
            <w:vMerge w:val="continue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95" w:hRule="atLeast"/>
        </w:trPr>
        <w:tc>
          <w:tcPr>
            <w:tcW w:w="2160" w:type="dxa"/>
            <w:vMerge w:val="continue"/>
            <w:vAlign w:val="center"/>
          </w:tcPr>
          <w:p/>
        </w:tc>
        <w:tc>
          <w:tcPr>
            <w:tcW w:w="1209" w:type="dxa"/>
            <w:vMerge w:val="continue"/>
            <w:vAlign w:val="center"/>
          </w:tcPr>
          <w:p/>
        </w:tc>
        <w:tc>
          <w:tcPr>
            <w:tcW w:w="9755" w:type="dxa"/>
            <w:vAlign w:val="center"/>
          </w:tcPr>
          <w:p>
            <w:pPr>
              <w:spacing w:line="360" w:lineRule="auto"/>
              <w:rPr>
                <w:rFonts w:ascii="宋体" w:hAnsi="宋体" w:cs="Arial"/>
                <w:szCs w:val="21"/>
              </w:rPr>
            </w:pPr>
            <w:r>
              <w:rPr>
                <w:rFonts w:hint="eastAsia" w:hAnsiTheme="minorEastAsia" w:eastAsiaTheme="minorEastAsia"/>
                <w:sz w:val="24"/>
                <w:szCs w:val="24"/>
                <w:lang w:val="en-US" w:eastAsia="zh-CN"/>
              </w:rPr>
              <w:t>审核条款：EMS/OHSMS: 5.3组织的岗位、职责和权限、6.2环境/职业健康安全目标、6.1.2环境因素/危险源辨识与评价、8.1运行策划和控制、8.2应急准备和响应、EMS/OHSMS运行控制相关财务支出证据</w:t>
            </w:r>
          </w:p>
        </w:tc>
        <w:tc>
          <w:tcPr>
            <w:tcW w:w="1585" w:type="dxa"/>
            <w:vMerge w:val="continue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5" w:hRule="atLeast"/>
        </w:trPr>
        <w:tc>
          <w:tcPr>
            <w:tcW w:w="2160" w:type="dxa"/>
            <w:vAlign w:val="center"/>
          </w:tcPr>
          <w:p>
            <w:pPr>
              <w:rPr>
                <w:rFonts w:eastAsiaTheme="minorEastAsia"/>
                <w:sz w:val="24"/>
                <w:szCs w:val="24"/>
              </w:rPr>
            </w:pPr>
            <w:r>
              <w:rPr>
                <w:rFonts w:hAnsiTheme="minorEastAsia" w:eastAsiaTheme="minorEastAsia"/>
                <w:sz w:val="24"/>
                <w:szCs w:val="24"/>
              </w:rPr>
              <w:t>组织的岗位、职责权限</w:t>
            </w:r>
          </w:p>
        </w:tc>
        <w:tc>
          <w:tcPr>
            <w:tcW w:w="1209" w:type="dxa"/>
            <w:vAlign w:val="center"/>
          </w:tcPr>
          <w:p>
            <w:pPr>
              <w:rPr>
                <w:rFonts w:eastAsiaTheme="minorEastAsia"/>
                <w:sz w:val="24"/>
                <w:szCs w:val="24"/>
                <w:highlight w:val="none"/>
              </w:rPr>
            </w:pPr>
            <w:r>
              <w:rPr>
                <w:rFonts w:eastAsiaTheme="minorEastAsia"/>
                <w:sz w:val="24"/>
                <w:szCs w:val="24"/>
                <w:highlight w:val="none"/>
              </w:rPr>
              <w:t>EO5.3</w:t>
            </w:r>
          </w:p>
          <w:p>
            <w:pPr>
              <w:rPr>
                <w:rFonts w:eastAsiaTheme="minorEastAsia"/>
                <w:sz w:val="24"/>
                <w:szCs w:val="24"/>
                <w:highlight w:val="none"/>
              </w:rPr>
            </w:pPr>
          </w:p>
          <w:p>
            <w:pPr>
              <w:rPr>
                <w:rFonts w:eastAsiaTheme="minorEastAsia"/>
                <w:sz w:val="24"/>
                <w:szCs w:val="24"/>
                <w:highlight w:val="none"/>
              </w:rPr>
            </w:pPr>
          </w:p>
        </w:tc>
        <w:tc>
          <w:tcPr>
            <w:tcW w:w="9755" w:type="dxa"/>
            <w:vAlign w:val="center"/>
          </w:tcPr>
          <w:p>
            <w:pPr>
              <w:spacing w:line="360" w:lineRule="auto"/>
              <w:ind w:firstLine="480" w:firstLineChars="200"/>
              <w:rPr>
                <w:rFonts w:hint="eastAsia" w:ascii="Times New Roman" w:cs="Times New Roman" w:hAnsiTheme="minorEastAsia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cs="Times New Roman" w:hAnsiTheme="minorEastAsia" w:eastAsiaTheme="minorEastAsia"/>
                <w:sz w:val="24"/>
                <w:szCs w:val="24"/>
                <w:lang w:val="en-US" w:eastAsia="zh-CN"/>
              </w:rPr>
              <w:t>审核过程中了解到部门主要负责：</w:t>
            </w:r>
          </w:p>
          <w:p>
            <w:pPr>
              <w:spacing w:line="360" w:lineRule="auto"/>
              <w:ind w:firstLine="480" w:firstLineChars="200"/>
              <w:rPr>
                <w:rFonts w:hint="eastAsia" w:ascii="Times New Roman" w:cs="Times New Roman" w:hAnsiTheme="minorEastAsia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cs="Times New Roman" w:hAnsiTheme="minorEastAsia" w:eastAsiaTheme="minorEastAsia"/>
                <w:sz w:val="24"/>
                <w:szCs w:val="24"/>
                <w:lang w:val="en-US" w:eastAsia="zh-CN"/>
              </w:rPr>
              <w:t>负责对公司财务、资金、成本，费用实行宏观管理；健全企业内部财务运作规范和经济责任制度并实施检查监督；组织公司年、季、月财务收支计划的编制和实施，控制费用支出，合理使用资金，实现公司经济指标；编制会计报表及相关收支统计报表；根据收集财务信息，进行财务分析，并组织人员对项目欠费进行清缴；督促财会人员正确及时计算交纳各种税款；组织协调各项目的多种经营工作。</w:t>
            </w:r>
          </w:p>
          <w:p>
            <w:pPr>
              <w:spacing w:line="360" w:lineRule="auto"/>
              <w:ind w:firstLine="480" w:firstLineChars="200"/>
              <w:rPr>
                <w:rFonts w:hAnsiTheme="minorEastAsia" w:eastAsiaTheme="minorEastAsia"/>
                <w:sz w:val="24"/>
                <w:szCs w:val="24"/>
              </w:rPr>
            </w:pPr>
            <w:r>
              <w:rPr>
                <w:rFonts w:hint="eastAsia" w:ascii="Times New Roman" w:cs="Times New Roman" w:hAnsiTheme="minorEastAsia" w:eastAsiaTheme="minorEastAsia"/>
                <w:sz w:val="24"/>
                <w:szCs w:val="24"/>
                <w:lang w:val="en-US" w:eastAsia="zh-CN"/>
              </w:rPr>
              <w:t>部门负责人职责明确，回答基本正确，沟通顺畅</w:t>
            </w:r>
          </w:p>
        </w:tc>
        <w:tc>
          <w:tcPr>
            <w:tcW w:w="1585" w:type="dxa"/>
          </w:tcPr>
          <w:p>
            <w:r>
              <w:t>符合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3" w:hRule="atLeast"/>
        </w:trPr>
        <w:tc>
          <w:tcPr>
            <w:tcW w:w="2160" w:type="dxa"/>
            <w:vAlign w:val="center"/>
          </w:tcPr>
          <w:p>
            <w:pPr>
              <w:rPr>
                <w:rFonts w:eastAsiaTheme="minorEastAsia"/>
                <w:sz w:val="24"/>
                <w:szCs w:val="24"/>
              </w:rPr>
            </w:pPr>
            <w:r>
              <w:rPr>
                <w:rFonts w:hAnsiTheme="minorEastAsia" w:eastAsiaTheme="minorEastAsia"/>
                <w:sz w:val="24"/>
                <w:szCs w:val="24"/>
              </w:rPr>
              <w:t>目标和方案</w:t>
            </w:r>
          </w:p>
        </w:tc>
        <w:tc>
          <w:tcPr>
            <w:tcW w:w="1209" w:type="dxa"/>
            <w:vAlign w:val="center"/>
          </w:tcPr>
          <w:p>
            <w:pPr>
              <w:rPr>
                <w:rFonts w:eastAsiaTheme="minorEastAsia"/>
                <w:sz w:val="24"/>
                <w:szCs w:val="24"/>
                <w:highlight w:val="none"/>
              </w:rPr>
            </w:pPr>
            <w:r>
              <w:rPr>
                <w:rFonts w:eastAsiaTheme="minorEastAsia"/>
                <w:sz w:val="24"/>
                <w:szCs w:val="24"/>
                <w:highlight w:val="none"/>
              </w:rPr>
              <w:t>QEO6.2</w:t>
            </w:r>
          </w:p>
          <w:p>
            <w:pPr>
              <w:rPr>
                <w:rFonts w:eastAsiaTheme="minorEastAsia"/>
                <w:sz w:val="24"/>
                <w:szCs w:val="24"/>
              </w:rPr>
            </w:pPr>
          </w:p>
          <w:p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9755" w:type="dxa"/>
            <w:vAlign w:val="center"/>
          </w:tcPr>
          <w:p>
            <w:pPr>
              <w:spacing w:line="360" w:lineRule="auto"/>
              <w:ind w:firstLine="480" w:firstLineChars="200"/>
              <w:rPr>
                <w:rFonts w:hint="eastAsia" w:ascii="Times New Roman" w:cs="Times New Roman" w:hAnsiTheme="minorEastAsia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cs="Times New Roman" w:hAnsiTheme="minorEastAsia" w:eastAsiaTheme="minorEastAsia"/>
                <w:sz w:val="24"/>
                <w:szCs w:val="24"/>
                <w:lang w:val="en-US" w:eastAsia="zh-CN"/>
              </w:rPr>
              <w:t>部门目标：                                           2021.1.6考核</w:t>
            </w:r>
          </w:p>
          <w:p>
            <w:pPr>
              <w:spacing w:line="360" w:lineRule="auto"/>
              <w:ind w:firstLine="480" w:firstLineChars="200"/>
              <w:rPr>
                <w:rFonts w:hint="default" w:ascii="Times New Roman" w:cs="Times New Roman" w:hAnsiTheme="minorEastAsia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cs="Times New Roman" w:hAnsiTheme="minorEastAsia" w:eastAsiaTheme="minorEastAsia"/>
                <w:sz w:val="24"/>
                <w:szCs w:val="24"/>
                <w:lang w:val="en-US" w:eastAsia="zh-CN"/>
              </w:rPr>
              <w:t>1、环保、安全资金提供及时率100%                       100%</w:t>
            </w:r>
          </w:p>
          <w:p>
            <w:pPr>
              <w:spacing w:line="360" w:lineRule="auto"/>
              <w:ind w:firstLine="480" w:firstLineChars="200"/>
              <w:rPr>
                <w:rFonts w:hint="eastAsia" w:ascii="Times New Roman" w:cs="Times New Roman" w:hAnsiTheme="minorEastAsia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 w:hAnsiTheme="minorEastAsia" w:eastAsiaTheme="minorEastAsia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Times New Roman" w:cs="Times New Roman" w:hAnsiTheme="minorEastAsia" w:eastAsiaTheme="minorEastAsia"/>
                <w:sz w:val="24"/>
                <w:szCs w:val="24"/>
                <w:lang w:val="en-US" w:eastAsia="zh-CN"/>
              </w:rPr>
              <w:t>、固废分类处置率100%；                               100%</w:t>
            </w:r>
          </w:p>
          <w:p>
            <w:pPr>
              <w:spacing w:line="360" w:lineRule="auto"/>
              <w:ind w:firstLine="480" w:firstLineChars="200"/>
              <w:rPr>
                <w:rFonts w:hint="eastAsia" w:ascii="Times New Roman" w:cs="Times New Roman" w:hAnsiTheme="minorEastAsia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 w:hAnsiTheme="minorEastAsia" w:eastAsiaTheme="minorEastAsia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Times New Roman" w:cs="Times New Roman" w:hAnsiTheme="minorEastAsia" w:eastAsiaTheme="minorEastAsia"/>
                <w:sz w:val="24"/>
                <w:szCs w:val="24"/>
                <w:lang w:val="en-US" w:eastAsia="zh-CN"/>
              </w:rPr>
              <w:t xml:space="preserve">、触电、火灾事故为0                             触电、火灾事故为0 发生                                </w:t>
            </w:r>
          </w:p>
          <w:p>
            <w:pPr>
              <w:spacing w:line="360" w:lineRule="auto"/>
              <w:ind w:firstLine="480" w:firstLineChars="200"/>
              <w:rPr>
                <w:rFonts w:hint="eastAsia" w:ascii="Times New Roman" w:cs="Times New Roman" w:hAnsiTheme="minorEastAsia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cs="Times New Roman" w:hAnsiTheme="minorEastAsia" w:eastAsiaTheme="minorEastAsia"/>
                <w:sz w:val="24"/>
                <w:szCs w:val="24"/>
                <w:lang w:val="en-US" w:eastAsia="zh-CN"/>
              </w:rPr>
              <w:t>抽2020年7-12月年目标分解考核表，各项目标均已完成，考核时间：2021.1.6检查人杨财保</w:t>
            </w:r>
          </w:p>
          <w:p>
            <w:pPr>
              <w:spacing w:line="360" w:lineRule="auto"/>
              <w:ind w:firstLine="480" w:firstLineChars="200"/>
              <w:rPr>
                <w:rFonts w:hint="eastAsia" w:ascii="Times New Roman" w:cs="Times New Roman" w:hAnsiTheme="minorEastAsia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cs="Times New Roman" w:hAnsiTheme="minorEastAsia" w:eastAsiaTheme="minorEastAsia"/>
                <w:sz w:val="24"/>
                <w:szCs w:val="24"/>
                <w:lang w:val="en-US" w:eastAsia="zh-CN"/>
              </w:rPr>
              <w:t>制定了环境目标指标管理方案、职业健康安全目标管理方案，明确了措施、责任人、管理部门、检查人、时间、资金投入要求。</w:t>
            </w:r>
          </w:p>
          <w:p>
            <w:pPr>
              <w:spacing w:line="360" w:lineRule="auto"/>
              <w:ind w:firstLine="480" w:firstLineChars="200"/>
              <w:rPr>
                <w:rFonts w:hint="eastAsia"/>
                <w:lang w:val="en-US" w:eastAsia="zh-CN"/>
              </w:rPr>
            </w:pPr>
            <w:r>
              <w:rPr>
                <w:rFonts w:hint="eastAsia" w:ascii="Times New Roman" w:cs="Times New Roman" w:hAnsiTheme="minorEastAsia" w:eastAsiaTheme="minorEastAsia"/>
                <w:sz w:val="24"/>
                <w:szCs w:val="24"/>
                <w:lang w:val="en-US" w:eastAsia="zh-CN"/>
              </w:rPr>
              <w:t>制定的目标指标和管理方案基本可行。</w:t>
            </w:r>
          </w:p>
        </w:tc>
        <w:tc>
          <w:tcPr>
            <w:tcW w:w="1585" w:type="dxa"/>
          </w:tcPr>
          <w:p>
            <w:r>
              <w:t>符合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6" w:hRule="atLeast"/>
        </w:trPr>
        <w:tc>
          <w:tcPr>
            <w:tcW w:w="2160" w:type="dxa"/>
            <w:vAlign w:val="center"/>
          </w:tcPr>
          <w:p>
            <w:pPr>
              <w:tabs>
                <w:tab w:val="left" w:pos="6597"/>
              </w:tabs>
              <w:spacing w:line="360" w:lineRule="auto"/>
              <w:rPr>
                <w:rFonts w:eastAsiaTheme="minorEastAsia"/>
                <w:sz w:val="24"/>
                <w:szCs w:val="24"/>
              </w:rPr>
            </w:pPr>
            <w:r>
              <w:rPr>
                <w:rFonts w:hAnsiTheme="minorEastAsia" w:eastAsiaTheme="minorEastAsia"/>
                <w:sz w:val="24"/>
                <w:szCs w:val="24"/>
              </w:rPr>
              <w:t>环境因素</w:t>
            </w:r>
            <w:r>
              <w:rPr>
                <w:rFonts w:eastAsiaTheme="minorEastAsia"/>
                <w:sz w:val="24"/>
                <w:szCs w:val="24"/>
              </w:rPr>
              <w:t>/</w:t>
            </w:r>
            <w:r>
              <w:rPr>
                <w:rFonts w:hAnsiTheme="minorEastAsia" w:eastAsiaTheme="minorEastAsia"/>
                <w:sz w:val="24"/>
                <w:szCs w:val="24"/>
              </w:rPr>
              <w:t>危险源辨识与评价</w:t>
            </w:r>
          </w:p>
        </w:tc>
        <w:tc>
          <w:tcPr>
            <w:tcW w:w="1209" w:type="dxa"/>
          </w:tcPr>
          <w:p>
            <w:pPr>
              <w:tabs>
                <w:tab w:val="left" w:pos="6597"/>
              </w:tabs>
              <w:spacing w:line="360" w:lineRule="auto"/>
              <w:rPr>
                <w:rFonts w:eastAsiaTheme="minorEastAsia"/>
                <w:sz w:val="24"/>
                <w:szCs w:val="24"/>
                <w:highlight w:val="none"/>
              </w:rPr>
            </w:pPr>
            <w:r>
              <w:rPr>
                <w:rFonts w:eastAsiaTheme="minorEastAsia"/>
                <w:sz w:val="24"/>
                <w:szCs w:val="24"/>
                <w:highlight w:val="none"/>
              </w:rPr>
              <w:t>E6.1.2</w:t>
            </w:r>
          </w:p>
          <w:p>
            <w:pPr>
              <w:tabs>
                <w:tab w:val="left" w:pos="6597"/>
              </w:tabs>
              <w:spacing w:line="360" w:lineRule="auto"/>
              <w:rPr>
                <w:rFonts w:eastAsiaTheme="minorEastAsia"/>
                <w:sz w:val="24"/>
                <w:szCs w:val="24"/>
                <w:highlight w:val="none"/>
              </w:rPr>
            </w:pPr>
            <w:r>
              <w:rPr>
                <w:rFonts w:eastAsiaTheme="minorEastAsia"/>
                <w:sz w:val="24"/>
                <w:szCs w:val="24"/>
                <w:highlight w:val="none"/>
              </w:rPr>
              <w:t>O6.1.2</w:t>
            </w:r>
          </w:p>
        </w:tc>
        <w:tc>
          <w:tcPr>
            <w:tcW w:w="9755" w:type="dxa"/>
          </w:tcPr>
          <w:p>
            <w:pPr>
              <w:spacing w:line="360" w:lineRule="auto"/>
              <w:ind w:firstLine="480" w:firstLineChars="200"/>
              <w:rPr>
                <w:rFonts w:hint="eastAsia" w:ascii="Times New Roman" w:cs="Times New Roman" w:hAnsiTheme="minorEastAsia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cs="Times New Roman" w:hAnsiTheme="minorEastAsia" w:eastAsiaTheme="minorEastAsia"/>
                <w:sz w:val="24"/>
                <w:szCs w:val="24"/>
                <w:lang w:val="en-US" w:eastAsia="zh-CN"/>
              </w:rPr>
              <w:t>提供了环境因素和危险源识别评价与控制程序，对环境因素识别和评价的目的、职责、工作程序和记录的要求均有明确的规定。</w:t>
            </w:r>
          </w:p>
          <w:p>
            <w:pPr>
              <w:spacing w:line="360" w:lineRule="auto"/>
              <w:ind w:firstLine="480" w:firstLineChars="200"/>
              <w:rPr>
                <w:rFonts w:hint="eastAsia" w:ascii="Times New Roman" w:cs="Times New Roman" w:hAnsiTheme="minorEastAsia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cs="Times New Roman" w:hAnsiTheme="minorEastAsia" w:eastAsiaTheme="minorEastAsia"/>
                <w:sz w:val="24"/>
                <w:szCs w:val="24"/>
                <w:lang w:val="en-US" w:eastAsia="zh-CN"/>
              </w:rPr>
              <w:t>■查“环境因素辨识和评价表”，已识别办公区活动的环境因素包括：办公场所吸烟污染环境、生活垃圾的处置不当污染环境、复印机打印机废墨盒处置污染环境、废电池随意丢弃污染环境、废弃的日光灯管、干粉灭火器使用污染水土、水土、消防用水能源消耗、全公司用水能源消耗、全公司用电能源消耗等，在环境评价过程中考虑到环境影响、三种时态和三种状态等，使用分级评分的方式，基本合理。</w:t>
            </w:r>
          </w:p>
          <w:p>
            <w:pPr>
              <w:spacing w:line="360" w:lineRule="auto"/>
              <w:ind w:firstLine="480" w:firstLineChars="200"/>
              <w:rPr>
                <w:rFonts w:hint="eastAsia" w:ascii="Times New Roman" w:cs="Times New Roman" w:hAnsiTheme="minorEastAsia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cs="Times New Roman" w:hAnsiTheme="minorEastAsia" w:eastAsiaTheme="minorEastAsia"/>
                <w:sz w:val="24"/>
                <w:szCs w:val="24"/>
                <w:lang w:val="en-US" w:eastAsia="zh-CN"/>
              </w:rPr>
              <w:t>参加环境因素辨识和评价人员：杨财保、陈斌、杨红、熊建辉  时间：2020年6月13日</w:t>
            </w:r>
          </w:p>
          <w:p>
            <w:pPr>
              <w:spacing w:line="360" w:lineRule="auto"/>
              <w:ind w:firstLine="480" w:firstLineChars="200"/>
              <w:rPr>
                <w:rFonts w:hint="eastAsia" w:ascii="Times New Roman" w:cs="Times New Roman" w:hAnsiTheme="minorEastAsia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cs="Times New Roman" w:hAnsiTheme="minorEastAsia" w:eastAsiaTheme="minorEastAsia"/>
                <w:sz w:val="24"/>
                <w:szCs w:val="24"/>
                <w:lang w:val="en-US" w:eastAsia="zh-CN"/>
              </w:rPr>
              <w:t>■查到《重要环境因素清单》已识别重要环境因素包括：办公场所吸烟烟头乱扔造成火灾，废墨盒、电池、办公生活垃圾等固废排放，环境管理目标、指标及其管理方案中明确控制措施和责任部门，基本合理。</w:t>
            </w:r>
          </w:p>
          <w:p>
            <w:pPr>
              <w:spacing w:line="360" w:lineRule="auto"/>
              <w:ind w:firstLine="480" w:firstLineChars="200"/>
              <w:rPr>
                <w:rFonts w:hint="eastAsia" w:ascii="Times New Roman" w:cs="Times New Roman" w:hAnsiTheme="minorEastAsia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cs="Times New Roman" w:hAnsiTheme="minorEastAsia" w:eastAsiaTheme="minorEastAsia"/>
                <w:sz w:val="24"/>
                <w:szCs w:val="24"/>
                <w:lang w:val="en-US" w:eastAsia="zh-CN"/>
              </w:rPr>
              <w:t>■查“危险源辨识、风险评价和控制措施的确定表”，识别了办公、生产、采购、销售过程中的危险源。</w:t>
            </w:r>
          </w:p>
          <w:p>
            <w:pPr>
              <w:spacing w:line="360" w:lineRule="auto"/>
              <w:ind w:firstLine="480" w:firstLineChars="200"/>
              <w:rPr>
                <w:rFonts w:hint="eastAsia" w:ascii="Times New Roman" w:cs="Times New Roman" w:hAnsiTheme="minorEastAsia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cs="Times New Roman" w:hAnsiTheme="minorEastAsia" w:eastAsiaTheme="minorEastAsia"/>
                <w:sz w:val="24"/>
                <w:szCs w:val="24"/>
                <w:lang w:val="en-US" w:eastAsia="zh-CN"/>
              </w:rPr>
              <w:t>涉及行政部的危险源有电线破损裸露、接线板负荷过重造成的火灾、插座质量差，漏电引起触电、烟头未及时熄灭或直接扔到纸篓中引起的火灾、停车场视线不开阔车辆伤害等，对识别出的危险源采取D=LEC进行评价。</w:t>
            </w:r>
          </w:p>
          <w:p>
            <w:pPr>
              <w:spacing w:line="360" w:lineRule="auto"/>
              <w:ind w:firstLine="480" w:firstLineChars="200"/>
              <w:rPr>
                <w:rFonts w:hint="eastAsia" w:ascii="Times New Roman" w:cs="Times New Roman" w:hAnsiTheme="minorEastAsia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cs="Times New Roman" w:hAnsiTheme="minorEastAsia" w:eastAsiaTheme="minorEastAsia"/>
                <w:sz w:val="24"/>
                <w:szCs w:val="24"/>
                <w:lang w:val="en-US" w:eastAsia="zh-CN"/>
              </w:rPr>
              <w:t>参加危险源识别和评价人员：杨财保、陈斌、杨红、熊建辉  时间：2020年6月13日</w:t>
            </w:r>
          </w:p>
          <w:p>
            <w:pPr>
              <w:spacing w:line="360" w:lineRule="auto"/>
              <w:ind w:firstLine="480" w:firstLineChars="200"/>
              <w:rPr>
                <w:rFonts w:hint="eastAsia" w:ascii="Times New Roman" w:cs="Times New Roman" w:hAnsiTheme="minorEastAsia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cs="Times New Roman" w:hAnsiTheme="minorEastAsia" w:eastAsiaTheme="minorEastAsia"/>
                <w:sz w:val="24"/>
                <w:szCs w:val="24"/>
                <w:lang w:val="en-US" w:eastAsia="zh-CN"/>
              </w:rPr>
              <w:t>■</w:t>
            </w:r>
            <w:r>
              <w:rPr>
                <w:rFonts w:hint="eastAsia" w:ascii="Times New Roman" w:cs="Times New Roman" w:hAnsiTheme="minorEastAsia" w:eastAsiaTheme="minorEastAsia"/>
                <w:sz w:val="24"/>
                <w:szCs w:val="24"/>
                <w:highlight w:val="none"/>
                <w:lang w:val="en-US" w:eastAsia="zh-CN"/>
              </w:rPr>
              <w:t>查《不可接受风险清单》，评价本部门的有2个不可接受风险，包括：配电设备线路绝缘破损发生触电、违规用电发生火灾造成人员伤亡等，并制定有控制措施。</w:t>
            </w:r>
          </w:p>
          <w:p>
            <w:pPr>
              <w:spacing w:line="360" w:lineRule="auto"/>
              <w:ind w:firstLine="480" w:firstLineChars="200"/>
              <w:rPr>
                <w:rFonts w:hint="eastAsia" w:ascii="Times New Roman" w:cs="Times New Roman" w:hAnsiTheme="minorEastAsia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cs="Times New Roman" w:hAnsiTheme="minorEastAsia" w:eastAsiaTheme="minorEastAsia"/>
                <w:sz w:val="24"/>
                <w:szCs w:val="24"/>
                <w:lang w:val="en-US" w:eastAsia="zh-CN"/>
              </w:rPr>
              <w:t>编制:办公室 审核：杨财保 批准：熊国平 时间：2020年6月13日</w:t>
            </w:r>
          </w:p>
          <w:p>
            <w:pPr>
              <w:spacing w:line="360" w:lineRule="auto"/>
              <w:ind w:firstLine="480" w:firstLineChars="200"/>
              <w:rPr>
                <w:rFonts w:hint="eastAsia" w:ascii="Times New Roman" w:cs="Times New Roman" w:hAnsiTheme="minorEastAsia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cs="Times New Roman" w:hAnsiTheme="minorEastAsia" w:eastAsiaTheme="minorEastAsia"/>
                <w:sz w:val="24"/>
                <w:szCs w:val="24"/>
                <w:lang w:val="en-US" w:eastAsia="zh-CN"/>
              </w:rPr>
              <w:t>以上危险源识别基本全面、无遗漏，评价基本合理</w:t>
            </w:r>
          </w:p>
        </w:tc>
        <w:tc>
          <w:tcPr>
            <w:tcW w:w="1585" w:type="dxa"/>
          </w:tcPr>
          <w:p>
            <w:r>
              <w:t>符合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9" w:hRule="atLeast"/>
        </w:trPr>
        <w:tc>
          <w:tcPr>
            <w:tcW w:w="2160" w:type="dxa"/>
            <w:vAlign w:val="center"/>
          </w:tcPr>
          <w:p>
            <w:pPr>
              <w:spacing w:line="360" w:lineRule="auto"/>
              <w:ind w:firstLine="480" w:firstLineChars="200"/>
              <w:rPr>
                <w:rFonts w:hint="eastAsia" w:ascii="Times New Roman" w:cs="Times New Roman" w:hAnsiTheme="minorEastAsia" w:eastAsiaTheme="minorEastAsia"/>
                <w:sz w:val="24"/>
                <w:szCs w:val="24"/>
                <w:lang w:val="en-US" w:eastAsia="zh-CN"/>
              </w:rPr>
            </w:pPr>
          </w:p>
          <w:p>
            <w:pPr>
              <w:spacing w:line="360" w:lineRule="auto"/>
              <w:ind w:firstLine="480" w:firstLineChars="200"/>
              <w:rPr>
                <w:rFonts w:hint="eastAsia" w:ascii="Times New Roman" w:cs="Times New Roman" w:hAnsiTheme="minorEastAsia" w:eastAsiaTheme="minorEastAsia"/>
                <w:sz w:val="24"/>
                <w:szCs w:val="24"/>
                <w:lang w:val="en-US" w:eastAsia="zh-CN"/>
              </w:rPr>
            </w:pPr>
          </w:p>
          <w:p>
            <w:pPr>
              <w:spacing w:line="360" w:lineRule="auto"/>
              <w:ind w:firstLine="480" w:firstLineChars="200"/>
              <w:rPr>
                <w:rFonts w:hint="eastAsia" w:ascii="Times New Roman" w:cs="Times New Roman" w:hAnsiTheme="minorEastAsia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cs="Times New Roman" w:hAnsiTheme="minorEastAsia" w:eastAsiaTheme="minorEastAsia"/>
                <w:sz w:val="24"/>
                <w:szCs w:val="24"/>
                <w:lang w:val="en-US" w:eastAsia="zh-CN"/>
              </w:rPr>
              <w:t>运行控制</w:t>
            </w:r>
          </w:p>
          <w:p>
            <w:pPr>
              <w:spacing w:line="360" w:lineRule="auto"/>
              <w:ind w:firstLine="480" w:firstLineChars="200"/>
              <w:rPr>
                <w:rFonts w:hint="eastAsia" w:ascii="Times New Roman" w:cs="Times New Roman" w:hAnsiTheme="minorEastAsia" w:eastAsiaTheme="minorEastAsia"/>
                <w:sz w:val="24"/>
                <w:szCs w:val="24"/>
                <w:lang w:val="en-US" w:eastAsia="zh-CN"/>
              </w:rPr>
            </w:pPr>
          </w:p>
        </w:tc>
        <w:tc>
          <w:tcPr>
            <w:tcW w:w="1209" w:type="dxa"/>
            <w:vAlign w:val="center"/>
          </w:tcPr>
          <w:p>
            <w:pPr>
              <w:spacing w:line="360" w:lineRule="auto"/>
              <w:rPr>
                <w:rFonts w:hint="eastAsia" w:ascii="Times New Roman" w:cs="Times New Roman" w:hAnsiTheme="minorEastAsia" w:eastAsiaTheme="minorEastAsia"/>
                <w:sz w:val="24"/>
                <w:szCs w:val="24"/>
                <w:lang w:val="en-US" w:eastAsia="zh-CN"/>
              </w:rPr>
            </w:pPr>
          </w:p>
          <w:p>
            <w:pPr>
              <w:spacing w:line="360" w:lineRule="auto"/>
              <w:rPr>
                <w:rFonts w:hint="eastAsia" w:ascii="Times New Roman" w:cs="Times New Roman" w:hAnsiTheme="minorEastAsia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cs="Times New Roman" w:hAnsiTheme="minorEastAsia" w:eastAsiaTheme="minorEastAsia"/>
                <w:sz w:val="24"/>
                <w:szCs w:val="24"/>
                <w:lang w:val="en-US" w:eastAsia="zh-CN"/>
              </w:rPr>
              <w:t>EO8.1</w:t>
            </w:r>
          </w:p>
        </w:tc>
        <w:tc>
          <w:tcPr>
            <w:tcW w:w="9755" w:type="dxa"/>
            <w:vAlign w:val="center"/>
          </w:tcPr>
          <w:p>
            <w:pPr>
              <w:spacing w:line="360" w:lineRule="auto"/>
              <w:ind w:firstLine="480" w:firstLineChars="200"/>
              <w:rPr>
                <w:rFonts w:hint="eastAsia" w:ascii="Times New Roman" w:cs="Times New Roman" w:hAnsiTheme="minorEastAsia" w:eastAsiaTheme="minorEastAsia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cs="Times New Roman" w:hAnsiTheme="minorEastAsia" w:eastAsiaTheme="minorEastAsia"/>
                <w:color w:val="000000"/>
                <w:sz w:val="24"/>
                <w:szCs w:val="24"/>
                <w:lang w:val="en-US" w:eastAsia="zh-CN"/>
              </w:rPr>
              <w:t>编制并执行的运行控制文件包括：采购控制程序、环境因素和危险源识别评价与控制程序、环境和职业健康安全法律法规控制程序、废弃物控制程序、噪声控制程序、消防控制程序、资源能源控制程序、劳动防护用品控制程序、化学品油品控制程序等管理程序。</w:t>
            </w:r>
          </w:p>
          <w:p>
            <w:pPr>
              <w:spacing w:line="360" w:lineRule="auto"/>
              <w:rPr>
                <w:rFonts w:hint="eastAsia" w:ascii="Times New Roman" w:cs="Times New Roman" w:hAnsiTheme="minorEastAsia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■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查</w:t>
            </w:r>
            <w:r>
              <w:rPr>
                <w:rFonts w:hint="eastAsia" w:ascii="Times New Roman" w:cs="Times New Roman" w:hAnsiTheme="minorEastAsia" w:eastAsiaTheme="minorEastAsia"/>
                <w:color w:val="000000"/>
                <w:sz w:val="24"/>
                <w:szCs w:val="24"/>
              </w:rPr>
              <w:t>运行控制情况：</w:t>
            </w:r>
          </w:p>
          <w:p>
            <w:pPr>
              <w:spacing w:line="360" w:lineRule="auto"/>
              <w:rPr>
                <w:rFonts w:hint="eastAsia" w:ascii="Times New Roman" w:cs="Times New Roman" w:hAnsiTheme="minorEastAsia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cs="Times New Roman" w:hAnsiTheme="minorEastAsia" w:eastAsiaTheme="minorEastAsia"/>
                <w:sz w:val="24"/>
                <w:szCs w:val="24"/>
                <w:lang w:val="en-US" w:eastAsia="zh-CN"/>
              </w:rPr>
              <w:t>参加</w:t>
            </w:r>
            <w:r>
              <w:rPr>
                <w:rFonts w:hint="eastAsia" w:cs="Times New Roman" w:hAnsiTheme="minorEastAsia" w:eastAsiaTheme="minorEastAsia"/>
                <w:sz w:val="24"/>
                <w:szCs w:val="24"/>
                <w:lang w:val="en-US" w:eastAsia="zh-CN"/>
              </w:rPr>
              <w:t>公司组织的</w:t>
            </w:r>
            <w:r>
              <w:rPr>
                <w:rFonts w:hint="eastAsia" w:ascii="Times New Roman" w:cs="Times New Roman" w:hAnsiTheme="minorEastAsia" w:eastAsiaTheme="minorEastAsia"/>
                <w:sz w:val="24"/>
                <w:szCs w:val="24"/>
                <w:lang w:val="en-US" w:eastAsia="zh-CN"/>
              </w:rPr>
              <w:t>环保和安全知识培训，</w:t>
            </w:r>
            <w:r>
              <w:rPr>
                <w:rFonts w:hint="eastAsia" w:cs="Times New Roman" w:hAnsiTheme="minorEastAsia" w:eastAsiaTheme="minorEastAsia"/>
                <w:sz w:val="24"/>
                <w:szCs w:val="24"/>
                <w:lang w:val="en-US" w:eastAsia="zh-CN"/>
              </w:rPr>
              <w:t>部门</w:t>
            </w:r>
            <w:r>
              <w:rPr>
                <w:rFonts w:hint="eastAsia" w:ascii="Times New Roman" w:cs="Times New Roman" w:hAnsiTheme="minorEastAsia" w:eastAsiaTheme="minorEastAsia"/>
                <w:sz w:val="24"/>
                <w:szCs w:val="24"/>
                <w:lang w:val="en-US" w:eastAsia="zh-CN"/>
              </w:rPr>
              <w:t>员工具备了基本的环保和职业健康安全防护意识。</w:t>
            </w:r>
          </w:p>
          <w:p>
            <w:pPr>
              <w:snapToGrid w:val="0"/>
              <w:spacing w:beforeLines="30" w:afterLines="30" w:line="288" w:lineRule="auto"/>
              <w:rPr>
                <w:rFonts w:hint="default" w:ascii="Times New Roman" w:cs="Times New Roman" w:hAnsiTheme="minorEastAsia" w:eastAsiaTheme="minorEastAsia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cs="Times New Roman" w:hAnsiTheme="minorEastAsia" w:eastAsiaTheme="minorEastAsia"/>
                <w:color w:val="000000"/>
                <w:sz w:val="24"/>
                <w:szCs w:val="24"/>
                <w:lang w:val="en-US" w:eastAsia="zh-CN"/>
              </w:rPr>
              <w:t>办公区域：污水：生活污水排放。噪声：办公现场不产生明显噪声。固废：办公场所将固体废弃物分类放置，废弃物产生后，放置到公司指定的存放点或容器里内，统一处理。</w:t>
            </w:r>
          </w:p>
          <w:p>
            <w:pPr>
              <w:snapToGrid w:val="0"/>
              <w:spacing w:beforeLines="30" w:afterLines="30" w:line="288" w:lineRule="auto"/>
              <w:rPr>
                <w:rFonts w:hint="eastAsia" w:ascii="Times New Roman" w:cs="Times New Roman" w:hAnsiTheme="minorEastAsia" w:eastAsiaTheme="minorEastAsia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cs="Times New Roman" w:hAnsiTheme="minorEastAsia" w:eastAsiaTheme="minorEastAsia"/>
                <w:color w:val="000000"/>
                <w:sz w:val="24"/>
                <w:szCs w:val="24"/>
                <w:lang w:val="en-US" w:eastAsia="zh-CN"/>
              </w:rPr>
              <w:t>办公过程注意节约用电，做到人走灯灭，电脑长时间不用时关机，下班前要关闭电源，防止触电。电器有漏电保护器，经常对电路、电源进行检查，没有露电现象发生</w:t>
            </w:r>
          </w:p>
          <w:p>
            <w:pPr>
              <w:snapToGrid w:val="0"/>
              <w:spacing w:beforeLines="30" w:afterLines="30" w:line="288" w:lineRule="auto"/>
              <w:rPr>
                <w:rFonts w:hint="eastAsia" w:ascii="Times New Roman" w:cs="Times New Roman" w:hAnsiTheme="minorEastAsia" w:eastAsiaTheme="minorEastAsia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cs="Times New Roman" w:hAnsiTheme="minorEastAsia" w:eastAsiaTheme="minorEastAsia"/>
                <w:color w:val="000000"/>
                <w:sz w:val="24"/>
                <w:szCs w:val="24"/>
                <w:lang w:val="en-US" w:eastAsia="zh-CN"/>
              </w:rPr>
              <w:t>办公纸张尽量采取双面打印，定期检查水管跑冒滴漏。</w:t>
            </w:r>
          </w:p>
          <w:p>
            <w:pPr>
              <w:snapToGrid w:val="0"/>
              <w:spacing w:beforeLines="30" w:afterLines="30" w:line="288" w:lineRule="auto"/>
              <w:rPr>
                <w:rFonts w:hint="default" w:ascii="Times New Roman" w:cs="Times New Roman" w:hAnsiTheme="minorEastAsia" w:eastAsiaTheme="minorEastAsia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cs="Times New Roman" w:hAnsiTheme="minorEastAsia" w:eastAsiaTheme="minorEastAsia"/>
                <w:color w:val="000000"/>
                <w:sz w:val="24"/>
                <w:szCs w:val="24"/>
                <w:lang w:val="en-US" w:eastAsia="zh-CN"/>
              </w:rPr>
              <w:t>办公区域，整洁、光线充足，办公条件较好，办公设备安全状态良好，教育员工正确使用办公设备，经了解用电基本规范，无乱拉线现象，防止火灾发生。</w:t>
            </w:r>
          </w:p>
          <w:p>
            <w:pPr>
              <w:snapToGrid w:val="0"/>
              <w:spacing w:beforeLines="30" w:afterLines="30" w:line="288" w:lineRule="auto"/>
              <w:rPr>
                <w:rFonts w:hint="eastAsia" w:ascii="Times New Roman" w:cs="Times New Roman" w:hAnsiTheme="minorEastAsia" w:eastAsiaTheme="minorEastAsia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cs="Times New Roman" w:hAnsiTheme="minorEastAsia" w:eastAsiaTheme="minorEastAsia"/>
                <w:color w:val="000000"/>
                <w:sz w:val="24"/>
                <w:szCs w:val="24"/>
                <w:lang w:val="en-US" w:eastAsia="zh-CN"/>
              </w:rPr>
              <w:t>办公区域配置固废分类装置，配置灭火器、消防栓等消防设施，提供2020.3-2021.1消防器材台账及检查记录，状况正常，检查人杨亮。</w:t>
            </w:r>
          </w:p>
          <w:p>
            <w:pPr>
              <w:snapToGrid w:val="0"/>
              <w:spacing w:beforeLines="30" w:afterLines="30" w:line="288" w:lineRule="auto"/>
              <w:rPr>
                <w:rFonts w:hint="eastAsia" w:ascii="Times New Roman" w:cs="Times New Roman" w:hAnsiTheme="minorEastAsia" w:eastAsiaTheme="minorEastAsia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■</w:t>
            </w:r>
            <w:r>
              <w:rPr>
                <w:rFonts w:hint="eastAsia" w:ascii="Times New Roman" w:cs="Times New Roman" w:hAnsiTheme="minorEastAsia" w:eastAsiaTheme="minorEastAsia"/>
                <w:color w:val="000000"/>
                <w:sz w:val="24"/>
                <w:szCs w:val="24"/>
                <w:lang w:val="en-US" w:eastAsia="zh-CN"/>
              </w:rPr>
              <w:t>查环境安全运行检查，检查内容涉及：加工/办公/生活区域卫生是否清理干净，危废处理情况、生产安全用电情况：用电是否有乱搭线现象；接地保护是否完好、消防设施是否完好；消防通道是否畅通等。</w:t>
            </w:r>
          </w:p>
          <w:p>
            <w:pPr>
              <w:snapToGrid w:val="0"/>
              <w:spacing w:beforeLines="30" w:afterLines="30" w:line="288" w:lineRule="auto"/>
              <w:rPr>
                <w:rFonts w:hint="eastAsia" w:ascii="Times New Roman" w:cs="Times New Roman" w:hAnsiTheme="minorEastAsia" w:eastAsiaTheme="minorEastAsia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cs="Times New Roman" w:hAnsiTheme="minorEastAsia" w:eastAsiaTheme="minorEastAsia"/>
                <w:color w:val="000000"/>
                <w:sz w:val="24"/>
                <w:szCs w:val="24"/>
                <w:lang w:val="en-US" w:eastAsia="zh-CN"/>
              </w:rPr>
              <w:t>抽查2020年3月-2021.1月检查记录，检查结果均正常，检查人：杨亮。</w:t>
            </w:r>
          </w:p>
          <w:p>
            <w:pPr>
              <w:snapToGrid w:val="0"/>
              <w:spacing w:beforeLines="30" w:afterLines="30" w:line="288" w:lineRule="auto"/>
              <w:rPr>
                <w:rFonts w:hint="eastAsia" w:ascii="Times New Roman" w:cs="Times New Roman" w:hAnsiTheme="minorEastAsia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cs="Times New Roman" w:hAnsiTheme="minorEastAsia" w:eastAsiaTheme="minorEastAsia"/>
                <w:color w:val="000000"/>
                <w:sz w:val="24"/>
                <w:szCs w:val="24"/>
                <w:lang w:val="en-US" w:eastAsia="zh-CN"/>
              </w:rPr>
              <w:t>部门运行控制基本符合要求。</w:t>
            </w:r>
          </w:p>
        </w:tc>
        <w:tc>
          <w:tcPr>
            <w:tcW w:w="1585" w:type="dxa"/>
          </w:tcPr>
          <w:p>
            <w:r>
              <w:t>符合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</w:trPr>
        <w:tc>
          <w:tcPr>
            <w:tcW w:w="2160" w:type="dxa"/>
            <w:vAlign w:val="center"/>
          </w:tcPr>
          <w:p>
            <w:pPr>
              <w:spacing w:line="360" w:lineRule="auto"/>
              <w:rPr>
                <w:rFonts w:hint="eastAsia" w:ascii="Times New Roman" w:cs="Times New Roman" w:hAnsiTheme="minorEastAsia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hAnsiTheme="minorEastAsia" w:eastAsiaTheme="minorEastAsia"/>
                <w:sz w:val="24"/>
                <w:szCs w:val="24"/>
                <w:lang w:val="en-US" w:eastAsia="zh-CN"/>
              </w:rPr>
              <w:t>应急准备和响应</w:t>
            </w:r>
          </w:p>
        </w:tc>
        <w:tc>
          <w:tcPr>
            <w:tcW w:w="1209" w:type="dxa"/>
            <w:vAlign w:val="center"/>
          </w:tcPr>
          <w:p>
            <w:pPr>
              <w:spacing w:line="360" w:lineRule="auto"/>
              <w:rPr>
                <w:rFonts w:hint="default" w:ascii="Times New Roman" w:cs="Times New Roman" w:hAnsiTheme="minorEastAsia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 w:hAnsiTheme="minorEastAsia" w:eastAsiaTheme="minorEastAsia"/>
                <w:sz w:val="24"/>
                <w:szCs w:val="24"/>
                <w:lang w:val="en-US" w:eastAsia="zh-CN"/>
              </w:rPr>
              <w:t>EO8.2</w:t>
            </w:r>
          </w:p>
        </w:tc>
        <w:tc>
          <w:tcPr>
            <w:tcW w:w="9755" w:type="dxa"/>
            <w:vAlign w:val="center"/>
          </w:tcPr>
          <w:p>
            <w:pPr>
              <w:snapToGrid w:val="0"/>
              <w:spacing w:beforeLines="30" w:afterLines="30" w:line="288" w:lineRule="auto"/>
              <w:rPr>
                <w:rFonts w:hint="eastAsia" w:ascii="Times New Roman" w:cs="Times New Roman" w:hAnsiTheme="minorEastAsia" w:eastAsiaTheme="minorEastAsia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cs="Times New Roman" w:hAnsiTheme="minorEastAsia" w:eastAsiaTheme="minorEastAsia"/>
                <w:color w:val="000000"/>
                <w:sz w:val="24"/>
                <w:szCs w:val="24"/>
                <w:lang w:val="en-US" w:eastAsia="zh-CN"/>
              </w:rPr>
              <w:t>■编制了《应急准备和响应程序》，建立了火灾、触电、机械伤害、物体打击等应急预案，编制：</w:t>
            </w:r>
            <w:r>
              <w:rPr>
                <w:rFonts w:hint="eastAsia" w:cs="Times New Roman" w:hAnsiTheme="minorEastAsia" w:eastAsiaTheme="minorEastAsia"/>
                <w:color w:val="000000"/>
                <w:sz w:val="24"/>
                <w:szCs w:val="24"/>
                <w:lang w:val="en-US" w:eastAsia="zh-CN"/>
              </w:rPr>
              <w:t>办公室</w:t>
            </w:r>
            <w:r>
              <w:rPr>
                <w:rFonts w:hint="eastAsia" w:ascii="Times New Roman" w:cs="Times New Roman" w:hAnsiTheme="minorEastAsia" w:eastAsiaTheme="minorEastAsia"/>
                <w:color w:val="000000"/>
                <w:sz w:val="24"/>
                <w:szCs w:val="24"/>
                <w:lang w:val="en-US" w:eastAsia="zh-CN"/>
              </w:rPr>
              <w:t xml:space="preserve">  审批：杨 财 保  批准：熊国平，预案确定了组织机构及职责、培训及演练、应急响应等内容。</w:t>
            </w:r>
          </w:p>
          <w:p>
            <w:pPr>
              <w:snapToGrid w:val="0"/>
              <w:spacing w:beforeLines="30" w:afterLines="30" w:line="288" w:lineRule="auto"/>
              <w:rPr>
                <w:rFonts w:hint="eastAsia" w:ascii="Times New Roman" w:cs="Times New Roman" w:hAnsiTheme="minorEastAsia" w:eastAsiaTheme="minorEastAsia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cs="Times New Roman" w:hAnsiTheme="minorEastAsia" w:eastAsiaTheme="minorEastAsia"/>
                <w:color w:val="000000"/>
                <w:sz w:val="24"/>
                <w:szCs w:val="24"/>
                <w:lang w:val="en-US" w:eastAsia="zh-CN"/>
              </w:rPr>
              <w:t>■提供应急救援预案演练计划，对火灾、触电、机械伤害、物体打击等应急预案进行培训，培训对象为参加演练人员，按计划组织公司的应急救援人员按应急流程进行训练和试验，以保证应急准备的有效性。拟制人：杨财保 批准人：熊国平  时间：2020年7月 10日</w:t>
            </w:r>
          </w:p>
          <w:p>
            <w:pPr>
              <w:snapToGrid w:val="0"/>
              <w:spacing w:beforeLines="30" w:afterLines="30" w:line="288" w:lineRule="auto"/>
              <w:rPr>
                <w:rFonts w:hint="default" w:ascii="Times New Roman" w:cs="Times New Roman" w:hAnsiTheme="minorEastAsia" w:eastAsiaTheme="minorEastAsia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cs="Times New Roman" w:hAnsiTheme="minorEastAsia" w:eastAsiaTheme="minorEastAsia"/>
                <w:color w:val="000000"/>
                <w:sz w:val="24"/>
                <w:szCs w:val="24"/>
                <w:lang w:val="en-US" w:eastAsia="zh-CN"/>
              </w:rPr>
              <w:t>■抽演练记录</w:t>
            </w:r>
          </w:p>
          <w:p>
            <w:pPr>
              <w:snapToGrid w:val="0"/>
              <w:spacing w:beforeLines="30" w:afterLines="30" w:line="288" w:lineRule="auto"/>
              <w:rPr>
                <w:rFonts w:hint="eastAsia" w:ascii="Times New Roman" w:cs="Times New Roman" w:hAnsiTheme="minorEastAsia" w:eastAsiaTheme="minorEastAsia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cs="Times New Roman" w:hAnsiTheme="minorEastAsia" w:eastAsiaTheme="minorEastAsia"/>
                <w:color w:val="000000"/>
                <w:sz w:val="24"/>
                <w:szCs w:val="24"/>
                <w:lang w:val="en-US" w:eastAsia="zh-CN"/>
              </w:rPr>
              <w:t>1、火灾事故应急预案演练记录，演练时间  2020年7月21 日14∶00——16∶00（两小时）</w:t>
            </w:r>
          </w:p>
          <w:p>
            <w:pPr>
              <w:snapToGrid w:val="0"/>
              <w:spacing w:beforeLines="30" w:afterLines="30" w:line="288" w:lineRule="auto"/>
              <w:rPr>
                <w:rFonts w:hint="eastAsia" w:ascii="Times New Roman" w:cs="Times New Roman" w:hAnsiTheme="minorEastAsia" w:eastAsiaTheme="minorEastAsia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cs="Times New Roman" w:hAnsiTheme="minorEastAsia" w:eastAsiaTheme="minorEastAsia"/>
                <w:color w:val="000000"/>
                <w:sz w:val="24"/>
                <w:szCs w:val="24"/>
                <w:lang w:val="en-US" w:eastAsia="zh-CN"/>
              </w:rPr>
              <w:t>参加人单位：办公室、生技部、供销部、质检部、财务部</w:t>
            </w:r>
          </w:p>
          <w:p>
            <w:pPr>
              <w:snapToGrid w:val="0"/>
              <w:spacing w:beforeLines="30" w:afterLines="30" w:line="288" w:lineRule="auto"/>
              <w:rPr>
                <w:rFonts w:hint="eastAsia" w:ascii="Times New Roman" w:cs="Times New Roman" w:hAnsiTheme="minorEastAsia" w:eastAsiaTheme="minorEastAsia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cs="Times New Roman" w:hAnsiTheme="minorEastAsia" w:eastAsiaTheme="minorEastAsia"/>
                <w:color w:val="000000"/>
                <w:sz w:val="24"/>
                <w:szCs w:val="24"/>
                <w:lang w:val="en-US" w:eastAsia="zh-CN"/>
              </w:rPr>
              <w:t>演练过程描述详细可行，有确定的防护措施，急救措施。</w:t>
            </w:r>
          </w:p>
          <w:p>
            <w:pPr>
              <w:snapToGrid w:val="0"/>
              <w:spacing w:beforeLines="30" w:afterLines="30" w:line="288" w:lineRule="auto"/>
              <w:rPr>
                <w:rFonts w:hint="eastAsia" w:ascii="Times New Roman" w:cs="Times New Roman" w:hAnsiTheme="minorEastAsia" w:eastAsiaTheme="minorEastAsia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cs="Times New Roman" w:hAnsiTheme="minorEastAsia" w:eastAsiaTheme="minorEastAsia"/>
                <w:color w:val="000000"/>
                <w:sz w:val="24"/>
                <w:szCs w:val="24"/>
                <w:lang w:val="en-US" w:eastAsia="zh-CN"/>
              </w:rPr>
              <w:t>评价人员：公司环保安全工作小组成员</w:t>
            </w:r>
          </w:p>
          <w:p>
            <w:pPr>
              <w:snapToGrid w:val="0"/>
              <w:spacing w:beforeLines="30" w:afterLines="30" w:line="288" w:lineRule="auto"/>
              <w:rPr>
                <w:rFonts w:hint="eastAsia" w:ascii="Times New Roman" w:cs="Times New Roman" w:hAnsiTheme="minorEastAsia" w:eastAsiaTheme="minorEastAsia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cs="Times New Roman" w:hAnsiTheme="minorEastAsia" w:eastAsiaTheme="minorEastAsia"/>
                <w:color w:val="000000"/>
                <w:sz w:val="24"/>
                <w:szCs w:val="24"/>
                <w:lang w:val="en-US" w:eastAsia="zh-CN"/>
              </w:rPr>
              <w:t>演练的效果：</w:t>
            </w:r>
          </w:p>
          <w:p>
            <w:pPr>
              <w:snapToGrid w:val="0"/>
              <w:spacing w:beforeLines="30" w:afterLines="30" w:line="288" w:lineRule="auto"/>
              <w:rPr>
                <w:rFonts w:hint="eastAsia" w:ascii="Times New Roman" w:cs="Times New Roman" w:hAnsiTheme="minorEastAsia" w:eastAsiaTheme="minorEastAsia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cs="Times New Roman" w:hAnsiTheme="minorEastAsia" w:eastAsiaTheme="minorEastAsia"/>
                <w:color w:val="000000"/>
                <w:sz w:val="24"/>
                <w:szCs w:val="24"/>
                <w:lang w:val="en-US" w:eastAsia="zh-CN"/>
              </w:rPr>
              <w:t>1）组织指挥有序，项目岗位配合较好，达到了预定目标，演练的效果较好。</w:t>
            </w:r>
          </w:p>
          <w:p>
            <w:pPr>
              <w:snapToGrid w:val="0"/>
              <w:spacing w:beforeLines="30" w:afterLines="30" w:line="288" w:lineRule="auto"/>
              <w:rPr>
                <w:rFonts w:hint="eastAsia" w:ascii="Times New Roman" w:cs="Times New Roman" w:hAnsiTheme="minorEastAsia" w:eastAsiaTheme="minorEastAsia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cs="Times New Roman" w:hAnsiTheme="minorEastAsia" w:eastAsiaTheme="minorEastAsia"/>
                <w:color w:val="000000"/>
                <w:sz w:val="24"/>
                <w:szCs w:val="24"/>
                <w:lang w:val="en-US" w:eastAsia="zh-CN"/>
              </w:rPr>
              <w:t>2）人员的速度较快，及时按照预定方案对事故处理人员进行保护。</w:t>
            </w:r>
          </w:p>
          <w:p>
            <w:pPr>
              <w:snapToGrid w:val="0"/>
              <w:spacing w:beforeLines="30" w:afterLines="30" w:line="288" w:lineRule="auto"/>
              <w:rPr>
                <w:rFonts w:hint="eastAsia" w:ascii="Times New Roman" w:cs="Times New Roman" w:hAnsiTheme="minorEastAsia" w:eastAsiaTheme="minorEastAsia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cs="Times New Roman" w:hAnsiTheme="minorEastAsia" w:eastAsiaTheme="minorEastAsia"/>
                <w:color w:val="000000"/>
                <w:sz w:val="24"/>
                <w:szCs w:val="24"/>
                <w:lang w:val="en-US" w:eastAsia="zh-CN"/>
              </w:rPr>
              <w:t>3）各参训人员装备佩戴完整，精神饱满。</w:t>
            </w:r>
          </w:p>
          <w:p>
            <w:pPr>
              <w:snapToGrid w:val="0"/>
              <w:spacing w:beforeLines="30" w:afterLines="30" w:line="288" w:lineRule="auto"/>
              <w:rPr>
                <w:rFonts w:hint="eastAsia" w:ascii="Times New Roman" w:cs="Times New Roman" w:hAnsiTheme="minorEastAsia" w:eastAsiaTheme="minorEastAsia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cs="Times New Roman" w:hAnsiTheme="minorEastAsia" w:eastAsiaTheme="minorEastAsia"/>
                <w:color w:val="000000"/>
                <w:sz w:val="24"/>
                <w:szCs w:val="24"/>
                <w:lang w:val="en-US" w:eastAsia="zh-CN"/>
              </w:rPr>
              <w:t>4）处理事故得当，速度较快，分工明确，能各负其责。</w:t>
            </w:r>
          </w:p>
          <w:p>
            <w:pPr>
              <w:snapToGrid w:val="0"/>
              <w:spacing w:beforeLines="30" w:afterLines="30" w:line="288" w:lineRule="auto"/>
              <w:rPr>
                <w:rFonts w:hint="eastAsia" w:ascii="Times New Roman" w:cs="Times New Roman" w:hAnsiTheme="minorEastAsia" w:eastAsiaTheme="minorEastAsia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cs="Times New Roman" w:hAnsiTheme="minorEastAsia" w:eastAsiaTheme="minorEastAsia"/>
                <w:color w:val="000000"/>
                <w:sz w:val="24"/>
                <w:szCs w:val="24"/>
                <w:lang w:val="en-US" w:eastAsia="zh-CN"/>
              </w:rPr>
              <w:t>再查触电事故应急救援预案演练记录、物体打击应急救援预案演练记录、机械伤害预案演练记录，情况基本同上。</w:t>
            </w:r>
          </w:p>
          <w:p>
            <w:pPr>
              <w:snapToGrid w:val="0"/>
              <w:spacing w:beforeLines="30" w:afterLines="30" w:line="288" w:lineRule="auto"/>
              <w:rPr>
                <w:rFonts w:hint="eastAsia" w:ascii="Times New Roman" w:cs="Times New Roman" w:hAnsiTheme="minorEastAsia" w:eastAsiaTheme="minorEastAsia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cs="Times New Roman" w:hAnsiTheme="minorEastAsia" w:eastAsiaTheme="minorEastAsia"/>
                <w:color w:val="000000"/>
                <w:sz w:val="24"/>
                <w:szCs w:val="24"/>
                <w:lang w:val="en-US" w:eastAsia="zh-CN"/>
              </w:rPr>
              <w:t>■针对新型冠状病毒引发的肺炎疫情，公司制定了疫情防控应急预案，准备防疫物资、每日人员出入登记/量体温/戴口罩、对体温超标的员工立即安排就诊或居家隔离，办公区域消毒，严格按政府和预案的要求执行。</w:t>
            </w:r>
          </w:p>
          <w:p>
            <w:pPr>
              <w:snapToGrid w:val="0"/>
              <w:spacing w:beforeLines="30" w:afterLines="30" w:line="288" w:lineRule="auto"/>
              <w:rPr>
                <w:rFonts w:hint="default" w:ascii="Times New Roman" w:cs="Times New Roman" w:hAnsiTheme="minorEastAsia" w:eastAsiaTheme="minorEastAsia"/>
                <w:color w:val="000000"/>
                <w:sz w:val="24"/>
                <w:szCs w:val="24"/>
                <w:lang w:val="en-US" w:eastAsia="zh-CN"/>
              </w:rPr>
            </w:pPr>
            <w:bookmarkStart w:id="0" w:name="_GoBack"/>
            <w:r>
              <w:rPr>
                <w:rFonts w:hint="eastAsia" w:ascii="Times New Roman" w:cs="Times New Roman" w:hAnsiTheme="minorEastAsia" w:eastAsiaTheme="minorEastAsia"/>
                <w:color w:val="000000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929640</wp:posOffset>
                  </wp:positionH>
                  <wp:positionV relativeFrom="paragraph">
                    <wp:posOffset>-550545</wp:posOffset>
                  </wp:positionV>
                  <wp:extent cx="1536700" cy="3074035"/>
                  <wp:effectExtent l="0" t="0" r="12065" b="0"/>
                  <wp:wrapNone/>
                  <wp:docPr id="11" name="图片 11" descr="8be58c07fc2edf0278c9f4ed4b1fd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8be58c07fc2edf0278c9f4ed4b1fd4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536700" cy="3074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bookmarkEnd w:id="0"/>
            <w:r>
              <w:rPr>
                <w:rFonts w:hint="eastAsia" w:ascii="Times New Roman" w:cs="Times New Roman" w:hAnsiTheme="minorEastAsia" w:eastAsiaTheme="minorEastAsia"/>
                <w:color w:val="000000"/>
                <w:sz w:val="24"/>
                <w:szCs w:val="24"/>
                <w:lang w:val="en-US" w:eastAsia="zh-CN"/>
              </w:rPr>
              <w:t>抽企业出入人员</w:t>
            </w:r>
            <w:r>
              <w:rPr>
                <w:rFonts w:hint="eastAsia" w:ascii="Times New Roman" w:cs="Times New Roman" w:hAnsiTheme="minorEastAsia" w:eastAsiaTheme="minorEastAsia"/>
                <w:color w:val="000000"/>
                <w:sz w:val="24"/>
                <w:szCs w:val="24"/>
                <w:lang w:val="en-US" w:eastAsia="zh-CN"/>
              </w:rPr>
              <w:t>登记表</w:t>
            </w:r>
          </w:p>
          <w:p>
            <w:pPr>
              <w:rPr>
                <w:rFonts w:hint="eastAsia" w:ascii="Times New Roman" w:hAnsi="Times New Roman" w:cs="Times New Roman"/>
                <w:szCs w:val="22"/>
                <w:lang w:val="en-US" w:eastAsia="zh-CN"/>
              </w:rPr>
            </w:pPr>
          </w:p>
          <w:p>
            <w:pPr>
              <w:pStyle w:val="2"/>
              <w:rPr>
                <w:rFonts w:hint="eastAsia"/>
                <w:lang w:val="en-US" w:eastAsia="zh-CN"/>
              </w:rPr>
            </w:pPr>
          </w:p>
          <w:p>
            <w:pPr>
              <w:snapToGrid w:val="0"/>
              <w:spacing w:beforeLines="30" w:afterLines="30" w:line="288" w:lineRule="auto"/>
              <w:rPr>
                <w:rFonts w:hint="eastAsia" w:ascii="Times New Roman" w:hAnsi="Times New Roman" w:cs="Times New Roman"/>
                <w:szCs w:val="22"/>
                <w:lang w:val="en-US" w:eastAsia="zh-CN"/>
              </w:rPr>
            </w:pPr>
          </w:p>
          <w:p>
            <w:pPr>
              <w:snapToGrid w:val="0"/>
              <w:spacing w:beforeLines="30" w:afterLines="30" w:line="288" w:lineRule="auto"/>
              <w:rPr>
                <w:rFonts w:hint="eastAsia" w:ascii="Times New Roman" w:hAnsi="Times New Roman" w:cs="Times New Roman"/>
                <w:szCs w:val="22"/>
                <w:lang w:val="en-US" w:eastAsia="zh-CN"/>
              </w:rPr>
            </w:pPr>
          </w:p>
          <w:p>
            <w:pPr>
              <w:snapToGrid w:val="0"/>
              <w:spacing w:beforeLines="30" w:afterLines="30" w:line="288" w:lineRule="auto"/>
              <w:rPr>
                <w:rFonts w:hint="eastAsia" w:ascii="Times New Roman" w:cs="Times New Roman" w:hAnsiTheme="minorEastAsia" w:eastAsiaTheme="minorEastAsia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cs="Times New Roman" w:hAnsiTheme="minorEastAsia" w:eastAsiaTheme="minorEastAsia"/>
                <w:color w:val="000000"/>
                <w:sz w:val="24"/>
                <w:szCs w:val="24"/>
                <w:lang w:val="en-US" w:eastAsia="zh-CN"/>
              </w:rPr>
              <w:t>自体系运行以来尚未发生紧急情况。</w:t>
            </w:r>
          </w:p>
        </w:tc>
        <w:tc>
          <w:tcPr>
            <w:tcW w:w="1585" w:type="dxa"/>
          </w:tcPr>
          <w:p>
            <w:pPr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符合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00" w:hRule="atLeast"/>
        </w:trPr>
        <w:tc>
          <w:tcPr>
            <w:tcW w:w="2160" w:type="dxa"/>
            <w:vAlign w:val="center"/>
          </w:tcPr>
          <w:p>
            <w:pPr>
              <w:spacing w:line="360" w:lineRule="auto"/>
              <w:ind w:firstLine="480" w:firstLineChars="200"/>
              <w:rPr>
                <w:rFonts w:hint="eastAsia" w:ascii="Times New Roman" w:cs="Times New Roman" w:hAnsiTheme="minorEastAsia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cs="Times New Roman" w:hAnsiTheme="minorEastAsia" w:eastAsiaTheme="minorEastAsia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  <w:t>EMS/OHSMS运行控制相关财务支出证据</w:t>
            </w:r>
          </w:p>
        </w:tc>
        <w:tc>
          <w:tcPr>
            <w:tcW w:w="1209" w:type="dxa"/>
            <w:vAlign w:val="center"/>
          </w:tcPr>
          <w:p>
            <w:pPr>
              <w:spacing w:line="360" w:lineRule="auto"/>
              <w:rPr>
                <w:rFonts w:hint="eastAsia" w:ascii="Times New Roman" w:cs="Times New Roman" w:hAnsiTheme="minorEastAsia" w:eastAsiaTheme="minorEastAsia"/>
                <w:sz w:val="24"/>
                <w:szCs w:val="24"/>
                <w:lang w:val="en-US" w:eastAsia="zh-CN"/>
              </w:rPr>
            </w:pPr>
          </w:p>
        </w:tc>
        <w:tc>
          <w:tcPr>
            <w:tcW w:w="9755" w:type="dxa"/>
            <w:vAlign w:val="center"/>
          </w:tcPr>
          <w:p>
            <w:pPr>
              <w:snapToGrid w:val="0"/>
              <w:spacing w:beforeLines="30" w:afterLines="30" w:line="288" w:lineRule="auto"/>
              <w:rPr>
                <w:rFonts w:hint="default" w:ascii="Times New Roman" w:cs="Times New Roman" w:hAnsiTheme="minorEastAsia" w:eastAsiaTheme="minorEastAsia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cs="Times New Roman" w:hAnsiTheme="minorEastAsia" w:eastAsiaTheme="minorEastAsia"/>
                <w:color w:val="000000"/>
                <w:sz w:val="24"/>
                <w:szCs w:val="24"/>
                <w:lang w:val="en-US" w:eastAsia="zh-CN"/>
              </w:rPr>
              <w:t>提供2020.1-2020.12安环费用投入明细，包括环境、安全教育费3000元、垃圾处理费2200元、劳保用品8000元、社保17694.72、消防用品3600元。</w:t>
            </w:r>
          </w:p>
          <w:p>
            <w:pPr>
              <w:snapToGrid w:val="0"/>
              <w:spacing w:beforeLines="30" w:afterLines="30" w:line="288" w:lineRule="auto"/>
              <w:rPr>
                <w:rFonts w:hint="default" w:ascii="Times New Roman" w:cs="Times New Roman" w:hAnsiTheme="minorEastAsia" w:eastAsiaTheme="minorEastAsia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2990850</wp:posOffset>
                  </wp:positionH>
                  <wp:positionV relativeFrom="paragraph">
                    <wp:posOffset>113030</wp:posOffset>
                  </wp:positionV>
                  <wp:extent cx="2908935" cy="1495425"/>
                  <wp:effectExtent l="0" t="0" r="12065" b="3175"/>
                  <wp:wrapNone/>
                  <wp:docPr id="8" name="图片 8" descr="9c6ce9112f585aa1e6860e97c525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9c6ce9112f585aa1e6860e97c52513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8935" cy="149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Times New Roman" w:cs="Times New Roman" w:hAnsiTheme="minorEastAsia" w:eastAsiaTheme="minorEastAsia"/>
                <w:color w:val="000000"/>
                <w:sz w:val="24"/>
                <w:szCs w:val="24"/>
                <w:lang w:val="en-US" w:eastAsia="zh-CN"/>
              </w:rPr>
              <w:t>抽查2020.7、8.、9月社保缴费证明</w:t>
            </w:r>
          </w:p>
          <w:p>
            <w:pPr>
              <w:snapToGrid w:val="0"/>
              <w:spacing w:beforeLines="30" w:afterLines="30" w:line="288" w:lineRule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1744980</wp:posOffset>
                  </wp:positionV>
                  <wp:extent cx="3542030" cy="1924685"/>
                  <wp:effectExtent l="0" t="0" r="1270" b="5715"/>
                  <wp:wrapNone/>
                  <wp:docPr id="7" name="图片 7" descr="2c514030471881ad5f164cb5eeebd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2c514030471881ad5f164cb5eeebd8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2030" cy="1924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3042920" cy="1703070"/>
                  <wp:effectExtent l="0" t="0" r="5080" b="11430"/>
                  <wp:docPr id="5" name="图片 5" descr="微信图片_202102031505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微信图片_2021020315053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2920" cy="1703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2"/>
              <w:rPr>
                <w:rFonts w:hint="eastAsia"/>
                <w:lang w:val="en-US" w:eastAsia="zh-CN"/>
              </w:rPr>
            </w:pPr>
          </w:p>
        </w:tc>
        <w:tc>
          <w:tcPr>
            <w:tcW w:w="1585" w:type="dxa"/>
          </w:tcPr>
          <w:p>
            <w:pPr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符合</w:t>
            </w:r>
          </w:p>
        </w:tc>
      </w:tr>
    </w:tbl>
    <w:p>
      <w:pPr>
        <w:pStyle w:val="4"/>
      </w:pPr>
      <w:r>
        <w:rPr>
          <w:rFonts w:hint="eastAsia"/>
        </w:rPr>
        <w:t>说明：不符合标注</w:t>
      </w:r>
      <w:r>
        <w:t>N</w:t>
      </w:r>
    </w:p>
    <w:p/>
    <w:p>
      <w:pPr>
        <w:pStyle w:val="4"/>
      </w:pPr>
    </w:p>
    <w:sectPr>
      <w:headerReference r:id="rId3" w:type="default"/>
      <w:footerReference r:id="rId4" w:type="default"/>
      <w:pgSz w:w="16838" w:h="11906" w:orient="landscape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隶书">
    <w:panose1 w:val="0201050906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724900"/>
    </w:sdtPr>
    <w:sdtContent>
      <w:sdt>
        <w:sdtPr>
          <w:id w:val="171357217"/>
        </w:sdtPr>
        <w:sdtContent>
          <w:p>
            <w:pPr>
              <w:pStyle w:val="4"/>
              <w:jc w:val="center"/>
            </w:pP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4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7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0"/>
      </w:pBdr>
      <w:tabs>
        <w:tab w:val="left" w:pos="8910"/>
        <w:tab w:val="left" w:pos="9142"/>
        <w:tab w:val="clear" w:pos="4153"/>
      </w:tabs>
      <w:spacing w:line="320" w:lineRule="exact"/>
      <w:ind w:left="-86" w:leftChars="-41" w:firstLine="810" w:firstLineChars="450"/>
      <w:jc w:val="left"/>
      <w:rPr>
        <w:rStyle w:val="11"/>
        <w:rFonts w:hint="default"/>
      </w:rPr>
    </w:pPr>
    <w: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4445</wp:posOffset>
          </wp:positionV>
          <wp:extent cx="410210" cy="433070"/>
          <wp:effectExtent l="19050" t="0" r="8890" b="0"/>
          <wp:wrapTight wrapText="bothSides">
            <wp:wrapPolygon>
              <wp:start x="4012" y="0"/>
              <wp:lineTo x="0" y="3801"/>
              <wp:lineTo x="-1003" y="15202"/>
              <wp:lineTo x="5015" y="20903"/>
              <wp:lineTo x="6019" y="20903"/>
              <wp:lineTo x="16050" y="20903"/>
              <wp:lineTo x="17053" y="20903"/>
              <wp:lineTo x="21065" y="16152"/>
              <wp:lineTo x="21065" y="15202"/>
              <wp:lineTo x="22068" y="9501"/>
              <wp:lineTo x="20062" y="3801"/>
              <wp:lineTo x="17053" y="0"/>
              <wp:lineTo x="4012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Style w:val="11"/>
        <w:rFonts w:hint="default"/>
      </w:rPr>
      <w:t>北京国标联合认证有限公司</w:t>
    </w:r>
    <w:r>
      <w:rPr>
        <w:rStyle w:val="11"/>
        <w:rFonts w:hint="default"/>
      </w:rPr>
      <w:tab/>
    </w:r>
    <w:r>
      <w:rPr>
        <w:rStyle w:val="11"/>
        <w:rFonts w:hint="default"/>
      </w:rPr>
      <w:tab/>
    </w:r>
    <w:r>
      <w:rPr>
        <w:rStyle w:val="11"/>
        <w:rFonts w:hint="default"/>
      </w:rPr>
      <w:tab/>
    </w:r>
  </w:p>
  <w:p>
    <w:pPr>
      <w:pStyle w:val="5"/>
      <w:pBdr>
        <w:bottom w:val="none" w:color="auto" w:sz="0" w:space="0"/>
      </w:pBdr>
      <w:spacing w:line="320" w:lineRule="exact"/>
      <w:jc w:val="left"/>
    </w:pPr>
    <w:r>
      <w:pict>
        <v:shape id="_x0000_s4097" o:spid="_x0000_s4097" o:spt="202" type="#_x0000_t202" style="position:absolute;left:0pt;margin-left:554.75pt;margin-top:2.2pt;height:20.2pt;width:172pt;z-index:251658240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r>
                  <w:rPr>
                    <w:rFonts w:hint="eastAsia"/>
                    <w:sz w:val="18"/>
                    <w:szCs w:val="18"/>
                  </w:rPr>
                  <w:t>ISC-</w:t>
                </w:r>
                <w:r>
                  <w:rPr>
                    <w:sz w:val="18"/>
                    <w:szCs w:val="18"/>
                  </w:rPr>
                  <w:t>B</w:t>
                </w:r>
                <w:r>
                  <w:rPr>
                    <w:rFonts w:hint="eastAsia"/>
                    <w:sz w:val="18"/>
                    <w:szCs w:val="18"/>
                  </w:rPr>
                  <w:t>-</w:t>
                </w:r>
                <w:r>
                  <w:rPr>
                    <w:sz w:val="18"/>
                    <w:szCs w:val="18"/>
                  </w:rPr>
                  <w:t>I</w:t>
                </w:r>
                <w:r>
                  <w:rPr>
                    <w:rFonts w:hint="eastAsia"/>
                    <w:sz w:val="18"/>
                    <w:szCs w:val="18"/>
                  </w:rPr>
                  <w:t>-31管理体系审核记录表(03版)</w:t>
                </w:r>
              </w:p>
            </w:txbxContent>
          </v:textbox>
        </v:shape>
      </w:pict>
    </w:r>
    <w:r>
      <w:rPr>
        <w:rStyle w:val="11"/>
        <w:rFonts w:hint="default"/>
        <w:w w:val="90"/>
      </w:rPr>
      <w:t>Beijing International Standard united Certification Co.,Ltd.</w:t>
    </w:r>
  </w:p>
  <w:p>
    <w:pPr>
      <w:pStyle w:val="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NotTrackMoves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8432E7"/>
    <w:rsid w:val="00036062"/>
    <w:rsid w:val="00066763"/>
    <w:rsid w:val="00087484"/>
    <w:rsid w:val="00092533"/>
    <w:rsid w:val="000C70C7"/>
    <w:rsid w:val="000F086F"/>
    <w:rsid w:val="00120AE6"/>
    <w:rsid w:val="00157017"/>
    <w:rsid w:val="001B65B6"/>
    <w:rsid w:val="001C77F1"/>
    <w:rsid w:val="001D4004"/>
    <w:rsid w:val="00272E91"/>
    <w:rsid w:val="0027655C"/>
    <w:rsid w:val="002C4576"/>
    <w:rsid w:val="003831AB"/>
    <w:rsid w:val="003A7E8F"/>
    <w:rsid w:val="003F3881"/>
    <w:rsid w:val="004244A6"/>
    <w:rsid w:val="00441AB2"/>
    <w:rsid w:val="0046592B"/>
    <w:rsid w:val="004D5D26"/>
    <w:rsid w:val="00572FAE"/>
    <w:rsid w:val="005A6AF6"/>
    <w:rsid w:val="005C2830"/>
    <w:rsid w:val="005D7407"/>
    <w:rsid w:val="00610E50"/>
    <w:rsid w:val="006531B6"/>
    <w:rsid w:val="00692248"/>
    <w:rsid w:val="00693044"/>
    <w:rsid w:val="006E74E2"/>
    <w:rsid w:val="006F653C"/>
    <w:rsid w:val="00724FA6"/>
    <w:rsid w:val="00747E87"/>
    <w:rsid w:val="00774E8D"/>
    <w:rsid w:val="007B0CA6"/>
    <w:rsid w:val="00805ACB"/>
    <w:rsid w:val="00816586"/>
    <w:rsid w:val="008432E7"/>
    <w:rsid w:val="00871F49"/>
    <w:rsid w:val="00915139"/>
    <w:rsid w:val="009539F1"/>
    <w:rsid w:val="0096202E"/>
    <w:rsid w:val="009816B6"/>
    <w:rsid w:val="009F2DA6"/>
    <w:rsid w:val="00A074DB"/>
    <w:rsid w:val="00A405AC"/>
    <w:rsid w:val="00AC5EEA"/>
    <w:rsid w:val="00AD342E"/>
    <w:rsid w:val="00AE34EE"/>
    <w:rsid w:val="00B22820"/>
    <w:rsid w:val="00BA7754"/>
    <w:rsid w:val="00BB01DB"/>
    <w:rsid w:val="00BB7084"/>
    <w:rsid w:val="00BF18A5"/>
    <w:rsid w:val="00C017BA"/>
    <w:rsid w:val="00C451D2"/>
    <w:rsid w:val="00CB245B"/>
    <w:rsid w:val="00CB6033"/>
    <w:rsid w:val="00CC5D45"/>
    <w:rsid w:val="00D158EC"/>
    <w:rsid w:val="00D45591"/>
    <w:rsid w:val="00E162D3"/>
    <w:rsid w:val="00E33843"/>
    <w:rsid w:val="00E42242"/>
    <w:rsid w:val="00EA11FE"/>
    <w:rsid w:val="00EC2974"/>
    <w:rsid w:val="00F01F55"/>
    <w:rsid w:val="00F0211B"/>
    <w:rsid w:val="00F13E3B"/>
    <w:rsid w:val="00F346E2"/>
    <w:rsid w:val="00F40AC7"/>
    <w:rsid w:val="00F46EF6"/>
    <w:rsid w:val="00F51309"/>
    <w:rsid w:val="00F638FD"/>
    <w:rsid w:val="00FA4DD0"/>
    <w:rsid w:val="00FA6258"/>
    <w:rsid w:val="00FA6599"/>
    <w:rsid w:val="00FD5E6E"/>
    <w:rsid w:val="00FD689B"/>
    <w:rsid w:val="013A7E44"/>
    <w:rsid w:val="02324284"/>
    <w:rsid w:val="03F77945"/>
    <w:rsid w:val="04385766"/>
    <w:rsid w:val="04766AC2"/>
    <w:rsid w:val="05AA0D88"/>
    <w:rsid w:val="06970AFE"/>
    <w:rsid w:val="07487397"/>
    <w:rsid w:val="08CF0F53"/>
    <w:rsid w:val="08F36905"/>
    <w:rsid w:val="0A6428CF"/>
    <w:rsid w:val="0B313273"/>
    <w:rsid w:val="0C9A6779"/>
    <w:rsid w:val="0CAC683E"/>
    <w:rsid w:val="0CDF1D43"/>
    <w:rsid w:val="11412443"/>
    <w:rsid w:val="11AF5DB5"/>
    <w:rsid w:val="11CC1D15"/>
    <w:rsid w:val="1241282B"/>
    <w:rsid w:val="132952D9"/>
    <w:rsid w:val="13C87237"/>
    <w:rsid w:val="145E696D"/>
    <w:rsid w:val="19182EDE"/>
    <w:rsid w:val="19A25ED6"/>
    <w:rsid w:val="1A986916"/>
    <w:rsid w:val="1B1D7164"/>
    <w:rsid w:val="1D4B03F7"/>
    <w:rsid w:val="1DA7498C"/>
    <w:rsid w:val="1E5C6207"/>
    <w:rsid w:val="1F3172EF"/>
    <w:rsid w:val="207A5D18"/>
    <w:rsid w:val="208B1F76"/>
    <w:rsid w:val="2150673F"/>
    <w:rsid w:val="22501C4B"/>
    <w:rsid w:val="233F2969"/>
    <w:rsid w:val="237B4D86"/>
    <w:rsid w:val="255162E3"/>
    <w:rsid w:val="258C7A17"/>
    <w:rsid w:val="268C629C"/>
    <w:rsid w:val="27107237"/>
    <w:rsid w:val="2879556F"/>
    <w:rsid w:val="29342DDD"/>
    <w:rsid w:val="29CB4ED1"/>
    <w:rsid w:val="29D207EC"/>
    <w:rsid w:val="2A3F4B19"/>
    <w:rsid w:val="2B7A1AB5"/>
    <w:rsid w:val="2C207910"/>
    <w:rsid w:val="2D131158"/>
    <w:rsid w:val="2FC65B40"/>
    <w:rsid w:val="302744E3"/>
    <w:rsid w:val="302A27B8"/>
    <w:rsid w:val="309605F0"/>
    <w:rsid w:val="3163712D"/>
    <w:rsid w:val="31EB0541"/>
    <w:rsid w:val="323C40E3"/>
    <w:rsid w:val="33767124"/>
    <w:rsid w:val="34BA1621"/>
    <w:rsid w:val="35302B3B"/>
    <w:rsid w:val="357B1876"/>
    <w:rsid w:val="36DC02EF"/>
    <w:rsid w:val="37A45A8E"/>
    <w:rsid w:val="38D54ABD"/>
    <w:rsid w:val="38FA7CC1"/>
    <w:rsid w:val="394F5176"/>
    <w:rsid w:val="3A994DEE"/>
    <w:rsid w:val="3B11388E"/>
    <w:rsid w:val="3BEE7108"/>
    <w:rsid w:val="3CD23FF2"/>
    <w:rsid w:val="3D6C58CB"/>
    <w:rsid w:val="3DAC5AF2"/>
    <w:rsid w:val="3E4D183B"/>
    <w:rsid w:val="3EC219FE"/>
    <w:rsid w:val="3F9F1564"/>
    <w:rsid w:val="40A23418"/>
    <w:rsid w:val="41427DE1"/>
    <w:rsid w:val="428C10B6"/>
    <w:rsid w:val="42C64C4F"/>
    <w:rsid w:val="439F6990"/>
    <w:rsid w:val="445612AB"/>
    <w:rsid w:val="44A837BF"/>
    <w:rsid w:val="44CC2562"/>
    <w:rsid w:val="44FD16F0"/>
    <w:rsid w:val="456D5E6F"/>
    <w:rsid w:val="46760E50"/>
    <w:rsid w:val="46B755FD"/>
    <w:rsid w:val="46E145EC"/>
    <w:rsid w:val="49455067"/>
    <w:rsid w:val="49852CF2"/>
    <w:rsid w:val="4B531CE7"/>
    <w:rsid w:val="4BCB45E4"/>
    <w:rsid w:val="4C306E9A"/>
    <w:rsid w:val="4D3A776D"/>
    <w:rsid w:val="4E8B53DA"/>
    <w:rsid w:val="4EF261E9"/>
    <w:rsid w:val="4FA37147"/>
    <w:rsid w:val="50016283"/>
    <w:rsid w:val="50E67D8F"/>
    <w:rsid w:val="51825E31"/>
    <w:rsid w:val="519F4613"/>
    <w:rsid w:val="53062F46"/>
    <w:rsid w:val="531752F5"/>
    <w:rsid w:val="53311D77"/>
    <w:rsid w:val="53705CCA"/>
    <w:rsid w:val="54913F28"/>
    <w:rsid w:val="550067DF"/>
    <w:rsid w:val="551158DC"/>
    <w:rsid w:val="55AF03F4"/>
    <w:rsid w:val="573936CF"/>
    <w:rsid w:val="5816015C"/>
    <w:rsid w:val="58A85F15"/>
    <w:rsid w:val="58AB2B75"/>
    <w:rsid w:val="59580A2A"/>
    <w:rsid w:val="59A16655"/>
    <w:rsid w:val="5C0F5D41"/>
    <w:rsid w:val="5D686A73"/>
    <w:rsid w:val="5E165DF1"/>
    <w:rsid w:val="5EB20C0C"/>
    <w:rsid w:val="5FEB55E5"/>
    <w:rsid w:val="621C16B4"/>
    <w:rsid w:val="62BD7723"/>
    <w:rsid w:val="653E26B9"/>
    <w:rsid w:val="655A4224"/>
    <w:rsid w:val="65C902AB"/>
    <w:rsid w:val="68971762"/>
    <w:rsid w:val="69D27068"/>
    <w:rsid w:val="6A2F719D"/>
    <w:rsid w:val="6CDF5D3B"/>
    <w:rsid w:val="6F0D3CB2"/>
    <w:rsid w:val="724111D5"/>
    <w:rsid w:val="729335FA"/>
    <w:rsid w:val="729722F9"/>
    <w:rsid w:val="773737BC"/>
    <w:rsid w:val="778659CE"/>
    <w:rsid w:val="7A5F0D7A"/>
    <w:rsid w:val="7A6A4EF1"/>
    <w:rsid w:val="7B79419A"/>
    <w:rsid w:val="7B7E065A"/>
    <w:rsid w:val="7BC04D34"/>
    <w:rsid w:val="7C217737"/>
    <w:rsid w:val="7C353E36"/>
    <w:rsid w:val="7C544EB1"/>
    <w:rsid w:val="7CA9592D"/>
    <w:rsid w:val="7D84113F"/>
    <w:rsid w:val="7F115024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0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8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8">
    <w:name w:val="页眉 Char"/>
    <w:basedOn w:val="7"/>
    <w:link w:val="5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9">
    <w:name w:val="页脚 Char"/>
    <w:basedOn w:val="7"/>
    <w:link w:val="4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0">
    <w:name w:val="批注框文本 Char"/>
    <w:basedOn w:val="7"/>
    <w:link w:val="3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1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  <w:style w:type="paragraph" w:customStyle="1" w:styleId="12">
    <w:name w:val="表格文字"/>
    <w:basedOn w:val="1"/>
    <w:qFormat/>
    <w:uiPriority w:val="99"/>
    <w:pPr>
      <w:spacing w:before="25" w:after="25"/>
    </w:pPr>
    <w:rPr>
      <w:bCs/>
      <w:spacing w:val="1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2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42209D8-AE2B-42EC-8F0D-868B4C2A631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7</Pages>
  <Words>602</Words>
  <Characters>3434</Characters>
  <Lines>28</Lines>
  <Paragraphs>8</Paragraphs>
  <TotalTime>3</TotalTime>
  <ScaleCrop>false</ScaleCrop>
  <LinksUpToDate>false</LinksUpToDate>
  <CharactersWithSpaces>4028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2015-06-17T12:51:00Z</dcterms:created>
  <dc:creator>微软用户</dc:creator>
  <cp:lastModifiedBy>Administrator</cp:lastModifiedBy>
  <dcterms:modified xsi:type="dcterms:W3CDTF">2021-02-04T04:22:02Z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