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0028-2021-Q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大足区杰程机械配件厂</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18.03.00,22.03.02,22.05.01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大足区杰程机械配件厂</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重庆市大足区龙水镇永益路420号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402360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重庆市大足区龙水镇永益路30号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402360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杨福川</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18323878829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杨军杰</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杨福川</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23878829@qq.com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汽车配件、摩托车配件、农机配件的加工</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18.03.00;22.03.02;22.05.01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b/>
          <w:color w:val="000000"/>
          <w:sz w:val="20"/>
          <w:szCs w:val="20"/>
          <w:lang w:val="en-US"/>
        </w:rPr>
      </w:pPr>
      <w:r>
        <w:rPr>
          <w:rFonts w:hint="eastAsia" w:ascii="宋体" w:hAnsi="宋体"/>
          <w:b/>
          <w:color w:val="000000"/>
          <w:sz w:val="20"/>
          <w:szCs w:val="20"/>
        </w:rPr>
        <w:t>部门：</w:t>
      </w:r>
      <w:r>
        <w:rPr>
          <w:rFonts w:hint="eastAsia" w:ascii="Times New Roman" w:hAnsi="Times New Roman" w:eastAsia="宋体" w:cs="Times New Roman"/>
          <w:szCs w:val="22"/>
          <w:lang w:val="en-US" w:eastAsia="zh-CN"/>
        </w:rPr>
        <w:t>管理层、综合管理部、生产技术部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hint="eastAsia" w:ascii="Times New Roman" w:hAnsi="Times New Roman" w:eastAsia="宋体" w:cs="Times New Roman"/>
                <w:szCs w:val="22"/>
                <w:lang w:val="en-US" w:eastAsia="zh-CN"/>
              </w:rPr>
            </w:pPr>
            <w:r>
              <w:rPr>
                <w:rFonts w:hint="eastAsia" w:ascii="宋体" w:hAnsi="宋体"/>
                <w:b/>
                <w:color w:val="000000"/>
                <w:sz w:val="20"/>
                <w:szCs w:val="20"/>
              </w:rPr>
              <w:t>产品：</w:t>
            </w:r>
            <w:r>
              <w:rPr>
                <w:rFonts w:hint="eastAsia" w:ascii="Times New Roman" w:hAnsi="Times New Roman" w:eastAsia="宋体" w:cs="Times New Roman"/>
                <w:szCs w:val="22"/>
                <w:lang w:val="en-US" w:eastAsia="zh-CN"/>
              </w:rPr>
              <w:t xml:space="preserve">汽车配件、摩托车配件、农机配件的加工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Times New Roman" w:hAnsi="Times New Roman" w:eastAsia="宋体" w:cs="Times New Roman"/>
                <w:szCs w:val="22"/>
                <w:lang w:val="en-US" w:eastAsia="zh-CN"/>
              </w:rPr>
              <w:t>管理层、综合管理部、生产技术部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Times New Roman" w:hAnsi="Times New Roman" w:eastAsia="宋体" w:cs="Times New Roman"/>
                <w:szCs w:val="22"/>
                <w:lang w:val="en-US" w:eastAsia="zh-CN"/>
              </w:rPr>
              <w:t>综合管理部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Times New Roman" w:hAnsi="Times New Roman" w:eastAsia="宋体" w:cs="Times New Roman"/>
                <w:szCs w:val="22"/>
                <w:lang w:val="en-US" w:eastAsia="zh-CN"/>
              </w:rPr>
              <w:t>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pStyle w:val="7"/>
              <w:spacing w:before="0" w:beforeAutospacing="0" w:after="0" w:afterAutospacing="0" w:line="240" w:lineRule="exact"/>
              <w:jc w:val="both"/>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宋体" w:hAnsi="宋体"/>
                <w:color w:val="000000"/>
                <w:sz w:val="20"/>
                <w:szCs w:val="20"/>
                <w:highlight w:val="none"/>
              </w:rPr>
              <w:t>：</w:t>
            </w:r>
            <w:r>
              <w:rPr>
                <w:rFonts w:hint="eastAsia" w:asciiTheme="minorEastAsia" w:hAnsiTheme="minorEastAsia" w:eastAsiaTheme="minorEastAsia"/>
                <w:sz w:val="20"/>
                <w:highlight w:val="none"/>
                <w:lang w:eastAsia="zh-CN"/>
              </w:rPr>
              <w:t>重庆市大足区龙水镇龙西路30号</w:t>
            </w:r>
          </w:p>
          <w:p>
            <w:pPr>
              <w:tabs>
                <w:tab w:val="left" w:pos="360"/>
              </w:tabs>
              <w:ind w:left="357" w:hanging="357"/>
              <w:rPr>
                <w:rFonts w:ascii="宋体"/>
                <w:color w:val="FF0000"/>
                <w:sz w:val="20"/>
                <w:szCs w:val="20"/>
              </w:rPr>
            </w:pPr>
            <w:r>
              <w:rPr>
                <w:rFonts w:hint="eastAsia" w:ascii="宋体" w:hAnsi="宋体"/>
                <w:color w:val="000000"/>
                <w:sz w:val="20"/>
                <w:szCs w:val="20"/>
              </w:rPr>
              <w:t>其使用的建筑设施是：□自建办公用房□自建厂房</w:t>
            </w:r>
            <w:r>
              <w:rPr>
                <w:rFonts w:hint="eastAsia" w:ascii="宋体" w:hAnsi="宋体"/>
                <w:color w:val="000000"/>
                <w:sz w:val="20"/>
                <w:szCs w:val="20"/>
                <w:lang w:eastAsia="zh-CN"/>
              </w:rPr>
              <w:t>□</w:t>
            </w:r>
            <w:r>
              <w:rPr>
                <w:rFonts w:hint="eastAsia" w:ascii="宋体" w:hAnsi="宋体"/>
                <w:color w:val="000000"/>
                <w:sz w:val="20"/>
                <w:szCs w:val="20"/>
              </w:rPr>
              <w:t>租用办公</w:t>
            </w:r>
            <w:r>
              <w:rPr>
                <w:rFonts w:hint="eastAsia" w:ascii="宋体" w:hAnsi="宋体"/>
                <w:color w:val="000000"/>
                <w:sz w:val="20"/>
                <w:szCs w:val="20"/>
                <w:highlight w:val="none"/>
              </w:rPr>
              <w:t>用房</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lang w:eastAsia="zh-CN"/>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400" w:lineRule="exact"/>
              <w:rPr>
                <w:rFonts w:hint="eastAsia" w:ascii="宋体" w:hAnsi="宋体" w:eastAsia="宋体" w:cs="Times New Roman"/>
                <w:szCs w:val="21"/>
                <w:lang w:val="en-US" w:eastAsia="zh-CN"/>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eastAsia="宋体" w:cs="Times New Roman"/>
                <w:szCs w:val="21"/>
              </w:rPr>
              <w:t>机械加工工艺装备基本术语GB/T 1008-2008</w:t>
            </w:r>
            <w:r>
              <w:rPr>
                <w:rFonts w:hint="eastAsia" w:ascii="宋体" w:hAnsi="宋体" w:eastAsia="宋体" w:cs="Times New Roman"/>
                <w:szCs w:val="21"/>
                <w:lang w:eastAsia="zh-CN"/>
              </w:rPr>
              <w:t>、</w:t>
            </w:r>
            <w:r>
              <w:rPr>
                <w:rFonts w:hint="eastAsia" w:ascii="宋体" w:hAnsi="宋体" w:eastAsia="宋体" w:cs="Times New Roman"/>
                <w:szCs w:val="21"/>
              </w:rPr>
              <w:t>机械加工定位、夹紧符号JB/T 5061-2006</w:t>
            </w:r>
            <w:r>
              <w:rPr>
                <w:rFonts w:hint="eastAsia" w:ascii="宋体" w:hAnsi="宋体" w:eastAsia="宋体" w:cs="Times New Roman"/>
                <w:szCs w:val="21"/>
                <w:lang w:eastAsia="zh-CN"/>
              </w:rPr>
              <w:t>、</w:t>
            </w:r>
            <w:r>
              <w:rPr>
                <w:rFonts w:hint="eastAsia" w:ascii="宋体" w:hAnsi="宋体" w:eastAsia="宋体" w:cs="Times New Roman"/>
                <w:szCs w:val="21"/>
              </w:rPr>
              <w:t>械加工工艺守则JB/T 9168-2006</w:t>
            </w:r>
            <w:r>
              <w:rPr>
                <w:rFonts w:hint="eastAsia" w:ascii="宋体" w:hAnsi="宋体" w:eastAsia="宋体" w:cs="Times New Roman"/>
                <w:szCs w:val="21"/>
                <w:lang w:eastAsia="zh-CN"/>
              </w:rPr>
              <w:t>、</w:t>
            </w:r>
            <w:r>
              <w:rPr>
                <w:rFonts w:hint="eastAsia" w:ascii="宋体" w:hAnsi="宋体" w:eastAsia="宋体" w:cs="Times New Roman"/>
                <w:szCs w:val="21"/>
              </w:rPr>
              <w:t>技术产品文件 机械加工定位、夹紧符号表示法GB/T 24740-2009</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XJ-JSB-0140/16、XJ-JSB-0140116、GB</w:t>
            </w:r>
            <w:r>
              <w:rPr>
                <w:rFonts w:hint="eastAsia" w:ascii="宋体" w:hAnsi="宋体" w:eastAsia="宋体" w:cs="Times New Roman"/>
                <w:szCs w:val="21"/>
              </w:rPr>
              <w:t>/T</w:t>
            </w:r>
            <w:r>
              <w:rPr>
                <w:rFonts w:hint="eastAsia" w:ascii="宋体" w:hAnsi="宋体" w:eastAsia="宋体" w:cs="Times New Roman"/>
                <w:szCs w:val="21"/>
                <w:lang w:val="en-US" w:eastAsia="zh-CN"/>
              </w:rPr>
              <w:t>1804-m、GB</w:t>
            </w:r>
            <w:r>
              <w:rPr>
                <w:rFonts w:hint="eastAsia" w:ascii="宋体" w:hAnsi="宋体" w:eastAsia="宋体" w:cs="Times New Roman"/>
                <w:szCs w:val="21"/>
              </w:rPr>
              <w:t>/T</w:t>
            </w:r>
            <w:r>
              <w:rPr>
                <w:rFonts w:hint="eastAsia" w:ascii="宋体" w:hAnsi="宋体" w:eastAsia="宋体" w:cs="Times New Roman"/>
                <w:szCs w:val="21"/>
                <w:lang w:val="en-US" w:eastAsia="zh-CN"/>
              </w:rPr>
              <w:t>5216-2004、8620H-Q/ZZ 2015、20CrMnTiH-GB5216、GB</w:t>
            </w:r>
            <w:r>
              <w:rPr>
                <w:rFonts w:hint="eastAsia" w:ascii="宋体" w:hAnsi="宋体" w:eastAsia="宋体" w:cs="Times New Roman"/>
                <w:szCs w:val="21"/>
              </w:rPr>
              <w:t>/T</w:t>
            </w:r>
            <w:r>
              <w:rPr>
                <w:rFonts w:hint="eastAsia" w:ascii="宋体" w:hAnsi="宋体" w:eastAsia="宋体" w:cs="Times New Roman"/>
                <w:szCs w:val="21"/>
                <w:lang w:val="en-US" w:eastAsia="zh-CN"/>
              </w:rPr>
              <w:t>15055-m等</w:t>
            </w: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highlight w:val="none"/>
              </w:rPr>
            </w:pPr>
            <w:r>
              <w:rPr>
                <w:rFonts w:hint="eastAsia" w:ascii="宋体"/>
                <w:color w:val="000000"/>
                <w:sz w:val="20"/>
                <w:szCs w:val="20"/>
                <w:highlight w:val="none"/>
              </w:rPr>
              <w:t>现场是否有产品检验报告</w:t>
            </w:r>
            <w:r>
              <w:rPr>
                <w:rFonts w:hint="eastAsia" w:ascii="宋体"/>
                <w:color w:val="000000"/>
                <w:sz w:val="20"/>
                <w:szCs w:val="20"/>
                <w:highlight w:val="none"/>
                <w:lang w:eastAsia="zh-CN"/>
              </w:rPr>
              <w:t>■</w:t>
            </w:r>
            <w:r>
              <w:rPr>
                <w:rFonts w:hint="eastAsia" w:asci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hint="eastAsia" w:ascii="宋体"/>
                <w:color w:val="000000"/>
                <w:sz w:val="20"/>
                <w:szCs w:val="20"/>
                <w:highlight w:val="none"/>
              </w:rPr>
            </w:pPr>
            <w:r>
              <w:rPr>
                <w:rFonts w:hint="eastAsia" w:ascii="宋体"/>
                <w:color w:val="000000"/>
                <w:sz w:val="20"/>
                <w:szCs w:val="20"/>
                <w:highlight w:val="none"/>
              </w:rPr>
              <w:t>是否需要型式试验□是</w:t>
            </w:r>
            <w:r>
              <w:rPr>
                <w:rFonts w:hint="eastAsia" w:ascii="宋体"/>
                <w:color w:val="000000"/>
                <w:sz w:val="20"/>
                <w:szCs w:val="20"/>
                <w:highlight w:val="none"/>
                <w:lang w:eastAsia="zh-CN"/>
              </w:rPr>
              <w:t>■</w:t>
            </w:r>
            <w:r>
              <w:rPr>
                <w:rFonts w:hint="eastAsia" w:ascii="宋体"/>
                <w:color w:val="000000"/>
                <w:sz w:val="20"/>
                <w:szCs w:val="20"/>
                <w:highlight w:val="none"/>
              </w:rPr>
              <w:t>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是否接受了行政主管部门的抽查□是</w:t>
            </w:r>
            <w:r>
              <w:rPr>
                <w:rFonts w:hint="eastAsia" w:ascii="宋体"/>
                <w:color w:val="000000"/>
                <w:sz w:val="20"/>
                <w:szCs w:val="20"/>
                <w:lang w:eastAsia="zh-CN"/>
              </w:rPr>
              <w:t>■</w:t>
            </w:r>
            <w:r>
              <w:rPr>
                <w:rFonts w:hint="eastAsia" w:ascii="宋体"/>
                <w:color w:val="000000"/>
                <w:sz w:val="20"/>
                <w:szCs w:val="20"/>
              </w:rPr>
              <w:t>否，抽查结果□合格□不合格</w:t>
            </w:r>
          </w:p>
          <w:p>
            <w:pPr>
              <w:rPr>
                <w:rFonts w:hint="eastAsia" w:ascii="宋体"/>
                <w:color w:val="000000"/>
                <w:sz w:val="20"/>
                <w:szCs w:val="20"/>
              </w:rPr>
            </w:pPr>
            <w:r>
              <w:rPr>
                <w:rFonts w:hint="eastAsia" w:ascii="宋体"/>
                <w:color w:val="000000"/>
                <w:sz w:val="20"/>
                <w:szCs w:val="20"/>
              </w:rPr>
              <w:t>是否列入当地政府黑名单□是</w:t>
            </w:r>
            <w:r>
              <w:rPr>
                <w:rFonts w:hint="eastAsia" w:ascii="宋体"/>
                <w:color w:val="000000"/>
                <w:sz w:val="20"/>
                <w:szCs w:val="20"/>
                <w:lang w:eastAsia="zh-CN"/>
              </w:rPr>
              <w:t>■</w:t>
            </w:r>
            <w:r>
              <w:rPr>
                <w:rFonts w:hint="eastAsia" w:ascii="宋体"/>
                <w:color w:val="000000"/>
                <w:sz w:val="20"/>
                <w:szCs w:val="20"/>
              </w:rPr>
              <w:t>否</w:t>
            </w:r>
          </w:p>
          <w:p>
            <w:pPr>
              <w:rPr>
                <w:rFonts w:hint="eastAsia" w:ascii="宋体"/>
                <w:color w:val="000000"/>
                <w:sz w:val="20"/>
                <w:szCs w:val="20"/>
              </w:rPr>
            </w:pPr>
            <w:r>
              <w:rPr>
                <w:rFonts w:hint="eastAsia" w:ascii="宋体"/>
                <w:color w:val="000000"/>
                <w:sz w:val="20"/>
                <w:szCs w:val="20"/>
              </w:rPr>
              <w:t>是否有重大顾客投诉□是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rPr>
                <w:szCs w:val="21"/>
              </w:rPr>
            </w:pPr>
            <w:r>
              <w:rPr>
                <w:rFonts w:hint="eastAsia"/>
                <w:szCs w:val="21"/>
              </w:rPr>
              <w:t>产品流程</w:t>
            </w:r>
          </w:p>
          <w:p>
            <w:pPr>
              <w:numPr>
                <w:ilvl w:val="0"/>
                <w:numId w:val="0"/>
              </w:num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1、机加件：零件毛坯----车加工----成品入库</w:t>
            </w:r>
          </w:p>
          <w:p>
            <w:pPr>
              <w:pStyle w:val="2"/>
              <w:numPr>
                <w:ilvl w:val="0"/>
                <w:numId w:val="0"/>
              </w:numPr>
              <w:rPr>
                <w:rFonts w:hint="eastAsia" w:ascii="宋体" w:hAnsi="宋体"/>
                <w:sz w:val="21"/>
                <w:szCs w:val="21"/>
                <w:lang w:val="en-US" w:eastAsia="zh-CN"/>
              </w:rPr>
            </w:pPr>
            <w:r>
              <w:rPr>
                <w:rFonts w:hint="eastAsia"/>
                <w:lang w:val="en-US" w:eastAsia="zh-CN"/>
              </w:rPr>
              <w:t>2、制造件：钢板</w:t>
            </w:r>
            <w:r>
              <w:rPr>
                <w:rFonts w:hint="eastAsia" w:ascii="宋体" w:hAnsi="宋体"/>
                <w:sz w:val="21"/>
                <w:szCs w:val="21"/>
                <w:lang w:val="en-US" w:eastAsia="zh-CN"/>
              </w:rPr>
              <w:t>----裁板----冲孔----成品入库。</w:t>
            </w:r>
          </w:p>
          <w:p>
            <w:pPr>
              <w:rPr>
                <w:rFonts w:hint="eastAsia"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hAnsi="宋体"/>
                <w:color w:val="000000"/>
                <w:sz w:val="20"/>
                <w:szCs w:val="20"/>
                <w:lang w:val="en-US"/>
              </w:rPr>
            </w:pPr>
            <w:r>
              <w:rPr>
                <w:rFonts w:hint="eastAsia" w:ascii="宋体" w:hAnsi="宋体"/>
                <w:color w:val="000000"/>
                <w:sz w:val="20"/>
                <w:szCs w:val="20"/>
              </w:rPr>
              <w:t>关键过程有：</w:t>
            </w:r>
            <w:r>
              <w:rPr>
                <w:rFonts w:hint="eastAsia" w:ascii="宋体" w:hAnsi="宋体"/>
                <w:sz w:val="21"/>
                <w:szCs w:val="21"/>
                <w:lang w:val="en-US" w:eastAsia="zh-CN"/>
              </w:rPr>
              <w:t>车加工、冲孔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sz w:val="20"/>
                <w:szCs w:val="20"/>
              </w:rPr>
            </w:pPr>
            <w:r>
              <w:rPr>
                <w:rFonts w:hint="eastAsia" w:ascii="宋体" w:hAnsi="宋体"/>
                <w:color w:val="000000"/>
                <w:sz w:val="20"/>
                <w:szCs w:val="20"/>
              </w:rPr>
              <w:t>针对关键过程建立的控制文件有：生产过程控制程序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sz w:val="20"/>
                <w:szCs w:val="20"/>
              </w:rPr>
            </w:pPr>
            <w:r>
              <w:rPr>
                <w:rFonts w:hint="eastAsia" w:ascii="宋体" w:hAnsi="宋体"/>
                <w:color w:val="000000"/>
                <w:sz w:val="20"/>
                <w:szCs w:val="20"/>
              </w:rPr>
              <w:t>需要确认过程：</w:t>
            </w:r>
            <w:r>
              <w:rPr>
                <w:rFonts w:hint="eastAsia" w:ascii="宋体" w:hAnsi="宋体"/>
                <w:sz w:val="21"/>
                <w:szCs w:val="21"/>
                <w:lang w:val="en-US" w:eastAsia="zh-CN"/>
              </w:rPr>
              <w:t>车加工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合同、技术协议书。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eastAsia="宋体"/>
                <w:szCs w:val="21"/>
                <w:highlight w:val="none"/>
                <w:lang w:eastAsia="zh-CN"/>
              </w:rPr>
            </w:pPr>
            <w:r>
              <w:rPr>
                <w:rFonts w:hint="eastAsia" w:ascii="宋体"/>
                <w:color w:val="000000"/>
                <w:sz w:val="20"/>
                <w:szCs w:val="20"/>
              </w:rPr>
              <w:t>主要设备：</w:t>
            </w:r>
            <w:r>
              <w:rPr>
                <w:rFonts w:hint="eastAsia" w:ascii="宋体" w:hAnsi="宋体" w:eastAsia="宋体" w:cs="Times New Roman"/>
                <w:color w:val="auto"/>
                <w:szCs w:val="21"/>
                <w:lang w:val="en-US" w:eastAsia="zh-CN"/>
              </w:rPr>
              <w:t>冲床</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剪板机</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液压机、数控车床</w:t>
            </w:r>
            <w:r>
              <w:rPr>
                <w:rFonts w:hint="eastAsia" w:ascii="宋体" w:hAnsi="宋体" w:eastAsia="宋体" w:cs="Times New Roman"/>
                <w:color w:val="auto"/>
                <w:szCs w:val="21"/>
              </w:rPr>
              <w:t>等</w:t>
            </w:r>
            <w:r>
              <w:rPr>
                <w:rFonts w:hint="eastAsia" w:ascii="宋体" w:hAnsi="宋体" w:eastAsia="宋体" w:cs="Times New Roman"/>
                <w:color w:val="auto"/>
                <w:szCs w:val="21"/>
                <w:lang w:val="en-US" w:eastAsia="zh-CN"/>
              </w:rPr>
              <w:t>及</w:t>
            </w:r>
            <w:r>
              <w:rPr>
                <w:rFonts w:hint="eastAsia" w:ascii="宋体" w:hAnsi="宋体" w:eastAsia="宋体" w:cs="Times New Roman"/>
                <w:color w:val="auto"/>
                <w:szCs w:val="21"/>
              </w:rPr>
              <w:t>办公设备</w:t>
            </w:r>
            <w:r>
              <w:rPr>
                <w:rFonts w:hint="eastAsia" w:ascii="宋体" w:hAnsi="宋体" w:cs="宋体"/>
                <w:sz w:val="21"/>
                <w:szCs w:val="21"/>
                <w:highlight w:val="none"/>
                <w:lang w:eastAsia="zh-CN"/>
              </w:rPr>
              <w:t>。</w:t>
            </w:r>
          </w:p>
          <w:p>
            <w:pPr>
              <w:rPr>
                <w:rFonts w:hint="eastAsia" w:ascii="宋体" w:eastAsia="宋体"/>
                <w:color w:val="FF0000"/>
                <w:spacing w:val="-1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color w:val="000000"/>
                <w:sz w:val="20"/>
                <w:szCs w:val="20"/>
              </w:rPr>
            </w:pPr>
            <w:r>
              <w:rPr>
                <w:rFonts w:hint="eastAsia" w:ascii="宋体"/>
                <w:color w:val="000000"/>
                <w:sz w:val="20"/>
                <w:szCs w:val="20"/>
              </w:rPr>
              <w:t>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default"/>
                <w:color w:val="000000" w:themeColor="text1"/>
                <w:sz w:val="21"/>
                <w:szCs w:val="21"/>
                <w:lang w:val="en-US" w:eastAsia="zh-CN"/>
              </w:rPr>
            </w:pPr>
            <w:r>
              <w:rPr>
                <w:rFonts w:hint="eastAsia" w:ascii="宋体"/>
                <w:color w:val="000000"/>
                <w:sz w:val="20"/>
                <w:szCs w:val="20"/>
              </w:rPr>
              <w:t>特种设备：</w:t>
            </w:r>
            <w:r>
              <w:rPr>
                <w:rFonts w:hint="eastAsia"/>
                <w:color w:val="000000" w:themeColor="text1"/>
                <w:sz w:val="21"/>
                <w:szCs w:val="21"/>
                <w:lang w:val="en-US" w:eastAsia="zh-CN"/>
              </w:rPr>
              <w:t>无</w:t>
            </w:r>
          </w:p>
          <w:p>
            <w:pPr>
              <w:rPr>
                <w:rFonts w:hint="eastAsia"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color w:val="000000"/>
                <w:sz w:val="20"/>
                <w:szCs w:val="20"/>
              </w:rPr>
            </w:pPr>
            <w:r>
              <w:rPr>
                <w:rFonts w:hint="eastAsia" w:asci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color w:val="000000"/>
                <w:sz w:val="20"/>
                <w:szCs w:val="20"/>
              </w:rPr>
            </w:pPr>
            <w:r>
              <w:rPr>
                <w:rFonts w:hint="eastAsia" w:ascii="宋体"/>
                <w:color w:val="000000"/>
                <w:sz w:val="20"/>
                <w:szCs w:val="20"/>
              </w:rPr>
              <w:t>监视和测量设备（请简述主要监视和测量设备）：</w:t>
            </w:r>
            <w:r>
              <w:rPr>
                <w:rFonts w:hint="eastAsia" w:ascii="宋体" w:hAnsi="宋体" w:eastAsia="宋体" w:cs="Times New Roman"/>
                <w:color w:val="auto"/>
                <w:szCs w:val="21"/>
                <w:lang w:val="en-US" w:eastAsia="zh-CN"/>
              </w:rPr>
              <w:t>卡尺、千分表等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19</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生产技术部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highlight w:val="none"/>
              </w:rPr>
            </w:pPr>
            <w:r>
              <w:rPr>
                <w:rFonts w:hint="eastAsia" w:ascii="宋体" w:hAnsi="宋体"/>
                <w:b/>
                <w:color w:val="000000"/>
                <w:sz w:val="20"/>
                <w:szCs w:val="20"/>
                <w:highlight w:val="none"/>
              </w:rPr>
              <w:t>内部审核</w:t>
            </w:r>
          </w:p>
        </w:tc>
        <w:tc>
          <w:tcPr>
            <w:tcW w:w="8221" w:type="dxa"/>
          </w:tcPr>
          <w:p>
            <w:pPr>
              <w:pStyle w:val="7"/>
              <w:spacing w:before="0" w:beforeAutospacing="0" w:after="0" w:afterAutospacing="0" w:line="240" w:lineRule="exact"/>
              <w:jc w:val="both"/>
              <w:rPr>
                <w:rFonts w:hint="default" w:ascii="宋体" w:eastAsia="宋体"/>
                <w:b/>
                <w:color w:val="000000"/>
                <w:sz w:val="20"/>
                <w:szCs w:val="20"/>
                <w:highlight w:val="none"/>
                <w:lang w:val="en-US" w:eastAsia="zh-CN"/>
              </w:rPr>
            </w:pPr>
            <w:r>
              <w:rPr>
                <w:rFonts w:hint="eastAsia" w:ascii="宋体" w:hAnsi="宋体"/>
                <w:b/>
                <w:color w:val="000000"/>
                <w:sz w:val="20"/>
                <w:szCs w:val="20"/>
                <w:highlight w:val="none"/>
              </w:rPr>
              <w:t>了解内审的策划</w:t>
            </w:r>
            <w:r>
              <w:rPr>
                <w:rFonts w:ascii="宋体" w:hAnsi="宋体"/>
                <w:b/>
                <w:color w:val="000000"/>
                <w:sz w:val="20"/>
                <w:szCs w:val="20"/>
                <w:highlight w:val="none"/>
              </w:rPr>
              <w:t xml:space="preserve">; </w:t>
            </w:r>
            <w:r>
              <w:rPr>
                <w:rFonts w:hint="eastAsia"/>
                <w:sz w:val="21"/>
                <w:szCs w:val="21"/>
                <w:highlight w:val="none"/>
              </w:rPr>
              <w:t>建立有《内部审核控制程序</w:t>
            </w:r>
            <w:r>
              <w:rPr>
                <w:rFonts w:hint="eastAsia" w:eastAsia="宋体"/>
                <w:sz w:val="21"/>
                <w:szCs w:val="21"/>
                <w:highlight w:val="none"/>
              </w:rPr>
              <w:t>》，于</w:t>
            </w:r>
            <w:r>
              <w:rPr>
                <w:rFonts w:hint="eastAsia" w:eastAsia="宋体"/>
                <w:sz w:val="21"/>
                <w:szCs w:val="21"/>
                <w:highlight w:val="none"/>
                <w:lang w:eastAsia="zh-CN"/>
              </w:rPr>
              <w:t xml:space="preserve">2020年 </w:t>
            </w:r>
            <w:r>
              <w:rPr>
                <w:rFonts w:hint="eastAsia" w:eastAsia="宋体"/>
                <w:sz w:val="21"/>
                <w:szCs w:val="21"/>
                <w:highlight w:val="none"/>
                <w:lang w:val="en-US" w:eastAsia="zh-CN"/>
              </w:rPr>
              <w:t>11</w:t>
            </w:r>
            <w:r>
              <w:rPr>
                <w:rFonts w:hint="eastAsia" w:eastAsia="宋体"/>
                <w:sz w:val="21"/>
                <w:szCs w:val="21"/>
                <w:highlight w:val="none"/>
                <w:lang w:eastAsia="zh-CN"/>
              </w:rPr>
              <w:t>月</w:t>
            </w:r>
            <w:r>
              <w:rPr>
                <w:rFonts w:hint="eastAsia" w:eastAsia="宋体"/>
                <w:sz w:val="21"/>
                <w:szCs w:val="21"/>
                <w:highlight w:val="none"/>
                <w:lang w:val="en-US" w:eastAsia="zh-CN"/>
              </w:rPr>
              <w:t>15</w:t>
            </w:r>
            <w:r>
              <w:rPr>
                <w:rFonts w:hint="eastAsia" w:eastAsia="宋体"/>
                <w:sz w:val="21"/>
                <w:szCs w:val="21"/>
                <w:highlight w:val="none"/>
                <w:lang w:eastAsia="zh-CN"/>
              </w:rPr>
              <w:t>日</w:t>
            </w:r>
            <w:r>
              <w:rPr>
                <w:rFonts w:hint="eastAsia" w:eastAsia="宋体"/>
                <w:sz w:val="21"/>
                <w:szCs w:val="21"/>
                <w:highlight w:val="none"/>
              </w:rPr>
              <w:t>进行了内部审核。内部审核组组成</w:t>
            </w:r>
            <w:r>
              <w:rPr>
                <w:rFonts w:hint="eastAsia" w:eastAsia="宋体"/>
                <w:sz w:val="21"/>
                <w:szCs w:val="21"/>
                <w:highlight w:val="none"/>
                <w:lang w:eastAsia="zh-CN"/>
              </w:rPr>
              <w:t>：</w:t>
            </w:r>
            <w:r>
              <w:rPr>
                <w:rFonts w:hint="eastAsia" w:eastAsia="宋体"/>
                <w:sz w:val="21"/>
                <w:szCs w:val="21"/>
                <w:highlight w:val="none"/>
                <w:lang w:val="en-US" w:eastAsia="zh-CN"/>
              </w:rPr>
              <w:t>组长：陈开鑫       组员：</w:t>
            </w:r>
            <w:bookmarkStart w:id="24" w:name="联系人"/>
            <w:r>
              <w:rPr>
                <w:sz w:val="21"/>
                <w:szCs w:val="21"/>
              </w:rPr>
              <w:t>杨福川</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340" w:lineRule="exact"/>
              <w:rPr>
                <w:rFonts w:ascii="宋体" w:hAnsi="宋体"/>
                <w:b/>
                <w:color w:val="000000"/>
                <w:sz w:val="20"/>
                <w:szCs w:val="20"/>
                <w:highlight w:val="none"/>
              </w:rPr>
            </w:pPr>
            <w:r>
              <w:rPr>
                <w:rFonts w:hint="eastAsia" w:ascii="宋体" w:hAnsi="宋体"/>
                <w:b/>
                <w:color w:val="000000"/>
                <w:sz w:val="20"/>
                <w:szCs w:val="20"/>
                <w:highlight w:val="none"/>
              </w:rPr>
              <w:t>了解内审是否覆盖了管理体系范围内的活动及标准的要求</w:t>
            </w:r>
            <w:r>
              <w:rPr>
                <w:rFonts w:ascii="宋体" w:hAnsi="宋体"/>
                <w:b/>
                <w:color w:val="000000"/>
                <w:sz w:val="20"/>
                <w:szCs w:val="20"/>
                <w:highlight w:val="none"/>
              </w:rPr>
              <w:t xml:space="preserve">; </w:t>
            </w:r>
          </w:p>
          <w:p>
            <w:pPr>
              <w:numPr>
                <w:ilvl w:val="0"/>
                <w:numId w:val="1"/>
              </w:numPr>
              <w:spacing w:line="340" w:lineRule="exact"/>
              <w:rPr>
                <w:rFonts w:ascii="仿宋" w:hAnsi="仿宋" w:eastAsia="仿宋"/>
                <w:sz w:val="24"/>
                <w:highlight w:val="none"/>
              </w:rPr>
            </w:pPr>
            <w:r>
              <w:rPr>
                <w:rFonts w:ascii="仿宋" w:hAnsi="仿宋" w:eastAsia="仿宋"/>
                <w:sz w:val="24"/>
                <w:highlight w:val="none"/>
              </w:rPr>
              <w:t>审核范围:</w:t>
            </w:r>
            <w:r>
              <w:rPr>
                <w:rFonts w:hint="eastAsia" w:ascii="仿宋" w:hAnsi="仿宋" w:eastAsia="仿宋"/>
                <w:sz w:val="24"/>
                <w:highlight w:val="none"/>
              </w:rPr>
              <w:t>管理体系</w:t>
            </w:r>
            <w:r>
              <w:rPr>
                <w:rFonts w:ascii="仿宋" w:hAnsi="仿宋" w:eastAsia="仿宋"/>
                <w:sz w:val="24"/>
                <w:highlight w:val="none"/>
              </w:rPr>
              <w:t>涉及的</w:t>
            </w:r>
            <w:r>
              <w:rPr>
                <w:rFonts w:hint="eastAsia" w:ascii="仿宋" w:hAnsi="仿宋" w:eastAsia="仿宋"/>
                <w:sz w:val="24"/>
                <w:highlight w:val="none"/>
              </w:rPr>
              <w:t>公司</w:t>
            </w:r>
            <w:r>
              <w:rPr>
                <w:rFonts w:ascii="仿宋" w:hAnsi="仿宋" w:eastAsia="仿宋"/>
                <w:sz w:val="24"/>
                <w:highlight w:val="none"/>
              </w:rPr>
              <w:t>所有部门</w:t>
            </w:r>
            <w:r>
              <w:rPr>
                <w:rFonts w:hint="eastAsia" w:ascii="仿宋" w:hAnsi="仿宋" w:eastAsia="仿宋"/>
                <w:sz w:val="24"/>
                <w:highlight w:val="none"/>
              </w:rPr>
              <w:t>、生产车间</w:t>
            </w:r>
            <w:r>
              <w:rPr>
                <w:rFonts w:ascii="仿宋" w:hAnsi="仿宋" w:eastAsia="仿宋"/>
                <w:sz w:val="24"/>
                <w:highlight w:val="none"/>
              </w:rPr>
              <w:t>及</w:t>
            </w:r>
            <w:r>
              <w:rPr>
                <w:rFonts w:hint="eastAsia" w:ascii="仿宋" w:hAnsi="仿宋" w:eastAsia="仿宋"/>
                <w:sz w:val="24"/>
                <w:highlight w:val="none"/>
              </w:rPr>
              <w:t>活动场所</w:t>
            </w:r>
            <w:r>
              <w:rPr>
                <w:rFonts w:ascii="仿宋" w:hAnsi="仿宋" w:eastAsia="仿宋"/>
                <w:sz w:val="24"/>
                <w:highlight w:val="none"/>
              </w:rPr>
              <w:t>。</w:t>
            </w:r>
          </w:p>
          <w:p>
            <w:pPr>
              <w:numPr>
                <w:ilvl w:val="0"/>
                <w:numId w:val="1"/>
              </w:numPr>
              <w:spacing w:line="340" w:lineRule="exact"/>
              <w:rPr>
                <w:rFonts w:ascii="宋体"/>
                <w:b/>
                <w:color w:val="000000"/>
                <w:sz w:val="20"/>
                <w:szCs w:val="20"/>
                <w:highlight w:val="none"/>
              </w:rPr>
            </w:pPr>
            <w:r>
              <w:rPr>
                <w:rFonts w:ascii="仿宋" w:hAnsi="仿宋" w:eastAsia="仿宋"/>
                <w:sz w:val="24"/>
                <w:highlight w:val="none"/>
              </w:rPr>
              <w:t>审核准则：</w:t>
            </w:r>
            <w:r>
              <w:rPr>
                <w:rFonts w:hint="eastAsia" w:ascii="仿宋" w:hAnsi="仿宋" w:eastAsia="仿宋"/>
                <w:sz w:val="24"/>
                <w:highlight w:val="none"/>
              </w:rPr>
              <w:t>a.GB/T 19001:2016、标准</w:t>
            </w:r>
            <w:r>
              <w:rPr>
                <w:rFonts w:ascii="仿宋" w:hAnsi="仿宋" w:eastAsia="仿宋"/>
                <w:sz w:val="24"/>
                <w:highlight w:val="none"/>
              </w:rPr>
              <w:t>；</w:t>
            </w:r>
            <w:r>
              <w:rPr>
                <w:rFonts w:hint="eastAsia" w:ascii="仿宋" w:hAnsi="仿宋" w:eastAsia="仿宋"/>
                <w:sz w:val="24"/>
                <w:highlight w:val="none"/>
              </w:rPr>
              <w:t xml:space="preserve"> b.</w:t>
            </w:r>
            <w:r>
              <w:rPr>
                <w:rFonts w:ascii="仿宋" w:hAnsi="仿宋" w:eastAsia="仿宋"/>
                <w:sz w:val="24"/>
                <w:highlight w:val="none"/>
              </w:rPr>
              <w:t>本公司管理体系文件；</w:t>
            </w:r>
            <w:r>
              <w:rPr>
                <w:rFonts w:hint="eastAsia" w:ascii="仿宋" w:hAnsi="仿宋" w:eastAsia="仿宋"/>
                <w:sz w:val="24"/>
                <w:highlight w:val="none"/>
              </w:rPr>
              <w:t>c.</w:t>
            </w:r>
            <w:r>
              <w:rPr>
                <w:rFonts w:ascii="仿宋" w:hAnsi="仿宋" w:eastAsia="仿宋"/>
                <w:sz w:val="24"/>
                <w:highlight w:val="none"/>
              </w:rPr>
              <w:t>相关的法律法规；</w:t>
            </w:r>
            <w:r>
              <w:rPr>
                <w:rFonts w:hint="eastAsia" w:ascii="仿宋" w:hAnsi="仿宋" w:eastAsia="仿宋"/>
                <w:sz w:val="24"/>
                <w:highlight w:val="none"/>
              </w:rPr>
              <w:t xml:space="preserve"> d.顾客及</w:t>
            </w:r>
            <w:r>
              <w:rPr>
                <w:rFonts w:ascii="仿宋" w:hAnsi="仿宋" w:eastAsia="仿宋"/>
                <w:sz w:val="24"/>
                <w:highlight w:val="none"/>
              </w:rPr>
              <w:t>相关方要求</w:t>
            </w:r>
            <w:r>
              <w:rPr>
                <w:rFonts w:hint="eastAsia" w:ascii="仿宋" w:hAnsi="仿宋" w:eastAsia="仿宋"/>
                <w:sz w:val="24"/>
                <w:highlight w:val="none"/>
              </w:rPr>
              <w:t>等</w:t>
            </w:r>
            <w:r>
              <w:rPr>
                <w:rFonts w:ascii="仿宋" w:hAnsi="仿宋" w:eastAsia="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260" w:lineRule="exact"/>
              <w:rPr>
                <w:rFonts w:ascii="宋体" w:hAnsi="宋体"/>
                <w:b/>
                <w:color w:val="000000"/>
                <w:sz w:val="20"/>
                <w:szCs w:val="20"/>
                <w:highlight w:val="none"/>
              </w:rPr>
            </w:pPr>
            <w:r>
              <w:rPr>
                <w:rFonts w:hint="eastAsia" w:ascii="宋体" w:hAnsi="宋体"/>
                <w:b/>
                <w:color w:val="000000"/>
                <w:sz w:val="20"/>
                <w:szCs w:val="20"/>
                <w:highlight w:val="none"/>
              </w:rPr>
              <w:t>了解内审结论是什么？</w:t>
            </w:r>
          </w:p>
          <w:p>
            <w:pPr>
              <w:tabs>
                <w:tab w:val="right" w:pos="9332"/>
              </w:tabs>
              <w:spacing w:line="400" w:lineRule="exact"/>
              <w:ind w:firstLine="378" w:firstLineChars="200"/>
              <w:rPr>
                <w:rFonts w:ascii="宋体" w:hAnsi="宋体" w:cs="宋体"/>
                <w:w w:val="90"/>
                <w:szCs w:val="21"/>
                <w:highlight w:val="none"/>
              </w:rPr>
            </w:pPr>
            <w:r>
              <w:rPr>
                <w:rFonts w:hint="eastAsia" w:ascii="宋体" w:hAnsi="宋体" w:cs="宋体"/>
                <w:w w:val="90"/>
                <w:szCs w:val="21"/>
                <w:highlight w:val="none"/>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highlight w:val="none"/>
              </w:rPr>
            </w:pPr>
            <w:r>
              <w:rPr>
                <w:rFonts w:hint="eastAsia" w:ascii="宋体" w:hAnsi="宋体" w:cs="宋体"/>
                <w:w w:val="90"/>
                <w:szCs w:val="21"/>
                <w:highlight w:val="none"/>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highlight w:val="none"/>
              </w:rPr>
            </w:pPr>
            <w:r>
              <w:rPr>
                <w:rFonts w:hint="eastAsia" w:ascii="宋体" w:hAnsi="宋体" w:cs="宋体"/>
                <w:w w:val="90"/>
                <w:szCs w:val="21"/>
                <w:highlight w:val="none"/>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highlight w:val="none"/>
              </w:rPr>
            </w:pPr>
            <w:r>
              <w:rPr>
                <w:rFonts w:hint="eastAsia" w:ascii="宋体" w:hAnsi="宋体"/>
                <w:b/>
                <w:color w:val="000000"/>
                <w:sz w:val="20"/>
                <w:szCs w:val="20"/>
                <w:highlight w:val="none"/>
              </w:rPr>
              <w:t>管理评审</w:t>
            </w:r>
          </w:p>
        </w:tc>
        <w:tc>
          <w:tcPr>
            <w:tcW w:w="8221"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了解管理评审的策划</w:t>
            </w:r>
            <w:r>
              <w:rPr>
                <w:rFonts w:ascii="宋体" w:hAnsi="宋体"/>
                <w:b/>
                <w:color w:val="000000"/>
                <w:sz w:val="20"/>
                <w:szCs w:val="20"/>
                <w:highlight w:val="none"/>
              </w:rPr>
              <w:t xml:space="preserve">; </w:t>
            </w:r>
            <w:r>
              <w:rPr>
                <w:rFonts w:hint="eastAsia"/>
                <w:szCs w:val="21"/>
                <w:highlight w:val="none"/>
              </w:rPr>
              <w:t>建立有《管理评审控制程序》，</w:t>
            </w:r>
            <w:r>
              <w:rPr>
                <w:rFonts w:hint="eastAsia" w:ascii="Times New Roman" w:hAnsi="Times New Roman" w:eastAsia="宋体" w:cs="Times New Roman"/>
                <w:szCs w:val="21"/>
                <w:highlight w:val="none"/>
              </w:rPr>
              <w:t>于</w:t>
            </w:r>
            <w:r>
              <w:rPr>
                <w:rFonts w:hint="eastAsia" w:ascii="Times New Roman" w:hAnsi="Times New Roman" w:eastAsia="宋体" w:cs="Times New Roman"/>
                <w:szCs w:val="21"/>
                <w:highlight w:val="none"/>
                <w:lang w:eastAsia="zh-CN"/>
              </w:rPr>
              <w:t>2020年</w:t>
            </w:r>
            <w:r>
              <w:rPr>
                <w:rFonts w:hint="eastAsia" w:ascii="Times New Roman" w:hAnsi="Times New Roman" w:eastAsia="宋体" w:cs="Times New Roman"/>
                <w:szCs w:val="21"/>
                <w:highlight w:val="none"/>
                <w:lang w:val="en-US" w:eastAsia="zh-CN"/>
              </w:rPr>
              <w:t>11</w:t>
            </w:r>
            <w:r>
              <w:rPr>
                <w:rFonts w:hint="eastAsia" w:ascii="Times New Roman" w:hAnsi="Times New Roman" w:eastAsia="宋体" w:cs="Times New Roman"/>
                <w:szCs w:val="21"/>
                <w:highlight w:val="none"/>
                <w:lang w:eastAsia="zh-CN"/>
              </w:rPr>
              <w:t>月</w:t>
            </w:r>
            <w:r>
              <w:rPr>
                <w:rFonts w:hint="eastAsia" w:ascii="Times New Roman" w:hAnsi="Times New Roman" w:eastAsia="宋体" w:cs="Times New Roman"/>
                <w:szCs w:val="21"/>
                <w:highlight w:val="none"/>
                <w:lang w:val="en-US" w:eastAsia="zh-CN"/>
              </w:rPr>
              <w:t>25</w:t>
            </w:r>
            <w:r>
              <w:rPr>
                <w:rFonts w:hint="eastAsia" w:ascii="Times New Roman" w:hAnsi="Times New Roman" w:eastAsia="宋体" w:cs="Times New Roman"/>
                <w:szCs w:val="21"/>
                <w:highlight w:val="none"/>
                <w:lang w:eastAsia="zh-CN"/>
              </w:rPr>
              <w:t>日</w:t>
            </w:r>
            <w:r>
              <w:rPr>
                <w:rFonts w:hint="eastAsia" w:ascii="Times New Roman" w:hAnsi="Times New Roman" w:eastAsia="宋体" w:cs="Times New Roman"/>
                <w:szCs w:val="21"/>
                <w:highlight w:val="none"/>
              </w:rPr>
              <w:t>就管理</w:t>
            </w:r>
            <w:r>
              <w:rPr>
                <w:rFonts w:hint="eastAsia"/>
                <w:szCs w:val="21"/>
                <w:highlight w:val="none"/>
              </w:rPr>
              <w:t>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adjustRightInd w:val="0"/>
              <w:spacing w:line="400" w:lineRule="exact"/>
              <w:textAlignment w:val="baseline"/>
              <w:rPr>
                <w:rFonts w:ascii="宋体"/>
                <w:b/>
                <w:color w:val="000000"/>
                <w:sz w:val="20"/>
                <w:szCs w:val="20"/>
                <w:highlight w:val="none"/>
              </w:rPr>
            </w:pPr>
            <w:r>
              <w:rPr>
                <w:rFonts w:hint="eastAsia" w:ascii="宋体" w:hAnsi="宋体"/>
                <w:b/>
                <w:color w:val="000000"/>
                <w:sz w:val="20"/>
                <w:szCs w:val="20"/>
                <w:highlight w:val="none"/>
              </w:rPr>
              <w:t>了解管理评审输入是否充分</w:t>
            </w:r>
            <w:r>
              <w:rPr>
                <w:rFonts w:ascii="宋体" w:hAnsi="宋体"/>
                <w:b/>
                <w:color w:val="000000"/>
                <w:sz w:val="20"/>
                <w:szCs w:val="20"/>
                <w:highlight w:val="none"/>
              </w:rPr>
              <w:t xml:space="preserve">; </w:t>
            </w:r>
            <w:r>
              <w:rPr>
                <w:rFonts w:hint="eastAsia" w:ascii="宋体" w:hAnsi="宋体"/>
                <w:kern w:val="0"/>
                <w:szCs w:val="21"/>
                <w:highlight w:val="none"/>
              </w:rPr>
              <w:t>提供主要输入材料有：各部门总结，</w:t>
            </w:r>
            <w:r>
              <w:rPr>
                <w:rFonts w:hint="eastAsia" w:ascii="宋体"/>
                <w:kern w:val="0"/>
                <w:szCs w:val="21"/>
                <w:highlight w:val="none"/>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了解管理评审结论</w:t>
            </w:r>
            <w:r>
              <w:rPr>
                <w:rFonts w:ascii="宋体" w:hAnsi="宋体"/>
                <w:b/>
                <w:color w:val="000000"/>
                <w:sz w:val="20"/>
                <w:szCs w:val="20"/>
                <w:highlight w:val="none"/>
              </w:rPr>
              <w:t xml:space="preserve">; </w:t>
            </w:r>
            <w:r>
              <w:rPr>
                <w:rFonts w:hint="eastAsia"/>
                <w:szCs w:val="21"/>
                <w:highlight w:val="none"/>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highlight w:val="none"/>
              </w:rPr>
            </w:pPr>
            <w:r>
              <w:rPr>
                <w:rFonts w:hint="eastAsia" w:ascii="宋体" w:hAnsi="宋体"/>
                <w:b/>
                <w:color w:val="000000"/>
                <w:sz w:val="20"/>
                <w:szCs w:val="20"/>
                <w:highlight w:val="none"/>
              </w:rPr>
              <w:t>评价受审核方对内审和管理评审的关注情况，是否已为二阶段审核做好准备</w:t>
            </w:r>
            <w:r>
              <w:rPr>
                <w:rFonts w:ascii="宋体" w:hAnsi="宋体"/>
                <w:b/>
                <w:color w:val="000000"/>
                <w:sz w:val="20"/>
                <w:szCs w:val="20"/>
                <w:highlight w:val="none"/>
              </w:rPr>
              <w:t xml:space="preserve">: </w:t>
            </w:r>
            <w:r>
              <w:rPr>
                <w:rFonts w:hint="eastAsia" w:ascii="宋体" w:hAnsi="宋体"/>
                <w:b/>
                <w:color w:val="000000"/>
                <w:sz w:val="20"/>
                <w:szCs w:val="20"/>
                <w:highlight w:val="none"/>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auto"/>
          <w:sz w:val="20"/>
          <w:szCs w:val="20"/>
        </w:rPr>
      </w:pPr>
      <w:r>
        <w:rPr>
          <w:rFonts w:hint="eastAsia" w:ascii="宋体" w:hAnsi="宋体"/>
          <w:b/>
          <w:color w:val="auto"/>
          <w:sz w:val="20"/>
          <w:szCs w:val="20"/>
          <w:lang w:eastAsia="zh-CN"/>
        </w:rPr>
        <w:t>■</w:t>
      </w:r>
      <w:r>
        <w:rPr>
          <w:rFonts w:hint="eastAsia" w:ascii="宋体" w:hAnsi="宋体"/>
          <w:b/>
          <w:color w:val="auto"/>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bookmarkStart w:id="25" w:name="_GoBack"/>
      <w:bookmarkEnd w:id="25"/>
    </w:p>
    <w:p>
      <w:pPr>
        <w:spacing w:line="300" w:lineRule="auto"/>
        <w:ind w:firstLine="201" w:firstLineChars="100"/>
        <w:rPr>
          <w:rFonts w:hint="eastAsia" w:ascii="宋体" w:eastAsia="宋体"/>
          <w:b/>
          <w:color w:val="000000"/>
          <w:sz w:val="20"/>
          <w:szCs w:val="20"/>
          <w:u w:val="single"/>
          <w:lang w:val="en-US" w:eastAsia="zh-CN"/>
        </w:rPr>
      </w:pPr>
      <w:r>
        <w:rPr>
          <w:rFonts w:ascii="宋体" w:hAnsi="宋体"/>
          <w:b/>
          <w:color w:val="000000"/>
          <w:sz w:val="20"/>
          <w:szCs w:val="20"/>
        </w:rPr>
        <w:t>QMS:____________________________________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1889125</wp:posOffset>
            </wp:positionH>
            <wp:positionV relativeFrom="paragraph">
              <wp:posOffset>24130</wp:posOffset>
            </wp:positionV>
            <wp:extent cx="683895" cy="271145"/>
            <wp:effectExtent l="0" t="0" r="1905" b="8255"/>
            <wp:wrapSquare wrapText="bothSides"/>
            <wp:docPr id="7" name="图片 7" descr="4490dcd3a4115ad56dab1433710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490dcd3a4115ad56dab14337108736"/>
                    <pic:cNvPicPr>
                      <a:picLocks noChangeAspect="1"/>
                    </pic:cNvPicPr>
                  </pic:nvPicPr>
                  <pic:blipFill>
                    <a:blip r:embed="rId6"/>
                    <a:stretch>
                      <a:fillRect/>
                    </a:stretch>
                  </pic:blipFill>
                  <pic:spPr>
                    <a:xfrm>
                      <a:off x="0" y="0"/>
                      <a:ext cx="683895" cy="271145"/>
                    </a:xfrm>
                    <a:prstGeom prst="rect">
                      <a:avLst/>
                    </a:prstGeom>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eastAsia" w:ascii="宋体" w:eastAsia="宋体"/>
          <w:b/>
          <w:color w:val="000000"/>
          <w:sz w:val="26"/>
          <w:szCs w:val="26"/>
          <w:lang w:eastAsia="zh-CN"/>
        </w:rPr>
      </w:pPr>
      <w:r>
        <w:rPr>
          <w:rFonts w:hint="eastAsia" w:ascii="宋体" w:hAnsi="宋体"/>
          <w:b/>
          <w:color w:val="000000"/>
        </w:rPr>
        <w:t>日期</w:t>
      </w:r>
      <w:r>
        <w:rPr>
          <w:rFonts w:ascii="宋体" w:hAnsi="宋体"/>
          <w:b/>
          <w:color w:val="000000"/>
        </w:rPr>
        <w:t xml:space="preserve">:  </w:t>
      </w:r>
      <w:r>
        <w:rPr>
          <w:rFonts w:hint="eastAsia"/>
          <w:color w:val="000000"/>
          <w:szCs w:val="21"/>
          <w:lang w:eastAsia="zh-CN"/>
        </w:rPr>
        <w:t>202</w:t>
      </w:r>
      <w:r>
        <w:rPr>
          <w:rFonts w:hint="eastAsia"/>
          <w:color w:val="000000"/>
          <w:szCs w:val="21"/>
          <w:lang w:val="en-US" w:eastAsia="zh-CN"/>
        </w:rPr>
        <w:t>1</w:t>
      </w:r>
      <w:r>
        <w:rPr>
          <w:rFonts w:hint="eastAsia"/>
          <w:color w:val="000000"/>
          <w:szCs w:val="21"/>
          <w:lang w:eastAsia="zh-CN"/>
        </w:rPr>
        <w:t>年1月</w:t>
      </w:r>
      <w:r>
        <w:rPr>
          <w:rFonts w:hint="eastAsia"/>
          <w:color w:val="000000"/>
          <w:szCs w:val="21"/>
          <w:lang w:val="en-US" w:eastAsia="zh-CN"/>
        </w:rPr>
        <w:t>17</w:t>
      </w:r>
      <w:r>
        <w:rPr>
          <w:rFonts w:hint="eastAsia"/>
          <w:color w:val="000000"/>
          <w:szCs w:val="21"/>
          <w:lang w:eastAsia="zh-CN"/>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FF0000"/>
                <w:sz w:val="24"/>
                <w:szCs w:val="24"/>
                <w:highlight w:val="none"/>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5080" w:firstLineChars="2300"/>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 xml:space="preserve">   </w:t>
            </w:r>
            <w:r>
              <w:rPr>
                <w:rFonts w:hint="eastAsia"/>
                <w:b/>
                <w:color w:val="000000"/>
                <w:sz w:val="22"/>
                <w:szCs w:val="22"/>
              </w:rPr>
              <w:t xml:space="preserve">年   </w:t>
            </w:r>
            <w:r>
              <w:rPr>
                <w:rFonts w:hint="eastAsia"/>
                <w:b/>
                <w:color w:val="000000"/>
                <w:sz w:val="22"/>
                <w:szCs w:val="22"/>
                <w:lang w:val="en-US" w:eastAsia="zh-CN"/>
              </w:rPr>
              <w:t xml:space="preserve"> </w:t>
            </w:r>
            <w:r>
              <w:rPr>
                <w:rFonts w:hint="eastAsia"/>
                <w:b/>
                <w:color w:val="000000"/>
                <w:sz w:val="22"/>
                <w:szCs w:val="22"/>
              </w:rPr>
              <w:t xml:space="preserve">月   </w:t>
            </w:r>
            <w:r>
              <w:rPr>
                <w:rFonts w:hint="eastAsia"/>
                <w:b/>
                <w:color w:val="000000"/>
                <w:sz w:val="22"/>
                <w:szCs w:val="22"/>
                <w:lang w:val="en-US" w:eastAsia="zh-CN"/>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 xml:space="preserve">年   </w:t>
            </w:r>
            <w:r>
              <w:rPr>
                <w:rFonts w:hint="eastAsia"/>
                <w:b/>
                <w:color w:val="000000"/>
                <w:sz w:val="22"/>
                <w:szCs w:val="22"/>
                <w:lang w:val="en-US" w:eastAsia="zh-CN"/>
              </w:rPr>
              <w:t xml:space="preserve"> </w:t>
            </w:r>
            <w:r>
              <w:rPr>
                <w:rFonts w:hint="eastAsia"/>
                <w:b/>
                <w:color w:val="000000"/>
                <w:sz w:val="22"/>
                <w:szCs w:val="22"/>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3075" o:spid="_x0000_s3075"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42707E"/>
    <w:rsid w:val="7FF40F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3"/>
    <w:semiHidden/>
    <w:qFormat/>
    <w:locked/>
    <w:uiPriority w:val="99"/>
    <w:rPr>
      <w:rFonts w:ascii="Times New Roman" w:hAnsi="Times New Roman" w:eastAsia="宋体" w:cs="Times New Roman"/>
      <w:sz w:val="18"/>
      <w:szCs w:val="18"/>
    </w:rPr>
  </w:style>
  <w:style w:type="character" w:customStyle="1" w:styleId="12">
    <w:name w:val="页脚 字符"/>
    <w:link w:val="4"/>
    <w:qFormat/>
    <w:locked/>
    <w:uiPriority w:val="99"/>
    <w:rPr>
      <w:rFonts w:ascii="Times New Roman" w:hAnsi="Times New Roman" w:eastAsia="宋体" w:cs="Times New Roman"/>
      <w:sz w:val="18"/>
      <w:szCs w:val="18"/>
    </w:rPr>
  </w:style>
  <w:style w:type="character" w:customStyle="1" w:styleId="13">
    <w:name w:val="页眉 字符"/>
    <w:link w:val="5"/>
    <w:qFormat/>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4</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2021-01-31T14:31:55Z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