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00" w:firstLineChars="11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0" w:name="S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</w:rPr>
              <w:t>　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ZB"/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组织名称"/>
            <w:r>
              <w:rPr>
                <w:rFonts w:ascii="方正仿宋简体" w:eastAsia="方正仿宋简体"/>
                <w:b/>
              </w:rPr>
              <w:t>广州市白云化工实业有限公司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严见明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提供公司能源计量器具配备情况，电力计量器具三级配备率50%，不满足GB17167标准95%的要求。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ISO500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</w:t>
            </w:r>
            <w:r>
              <w:drawing>
                <wp:inline distT="0" distB="0" distL="0" distR="0">
                  <wp:extent cx="834390" cy="215900"/>
                  <wp:effectExtent l="0" t="0" r="3810" b="0"/>
                  <wp:docPr id="2" name="图片 2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审核组长：</w:t>
            </w:r>
            <w:bookmarkStart w:id="3" w:name="_GoBack"/>
            <w:bookmarkEnd w:id="3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243206"/>
    <w:rsid w:val="5E6535E0"/>
    <w:rsid w:val="7DD03F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开门大吉～ISO认证服务</cp:lastModifiedBy>
  <cp:lastPrinted>2019-05-13T03:02:00Z</cp:lastPrinted>
  <dcterms:modified xsi:type="dcterms:W3CDTF">2021-01-27T06:02:31Z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