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0504-2019-Q</w:t>
      </w:r>
      <w:bookmarkEnd w:id="0"/>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重庆创润绿宝通用机械有限公司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89"/>
        <w:gridCol w:w="151"/>
        <w:gridCol w:w="86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97"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14"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097" w:type="dxa"/>
            <w:gridSpan w:val="3"/>
            <w:vAlign w:val="center"/>
          </w:tcPr>
          <w:p>
            <w:pPr>
              <w:spacing w:line="240" w:lineRule="exact"/>
              <w:jc w:val="center"/>
              <w:rPr>
                <w:b/>
                <w:color w:val="000000"/>
                <w:sz w:val="20"/>
                <w:szCs w:val="20"/>
              </w:rPr>
            </w:pPr>
            <w:r>
              <w:rPr>
                <w:rFonts w:hint="eastAsia"/>
                <w:sz w:val="18"/>
                <w:szCs w:val="18"/>
              </w:rPr>
              <w:t>注册资格</w:t>
            </w:r>
          </w:p>
        </w:tc>
        <w:tc>
          <w:tcPr>
            <w:tcW w:w="2484" w:type="dxa"/>
            <w:gridSpan w:val="3"/>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097" w:type="dxa"/>
            <w:gridSpan w:val="3"/>
            <w:vAlign w:val="center"/>
          </w:tcPr>
          <w:p>
            <w:pPr>
              <w:spacing w:line="240" w:lineRule="exact"/>
              <w:jc w:val="center"/>
              <w:rPr>
                <w:b/>
                <w:color w:val="000000"/>
                <w:sz w:val="20"/>
                <w:szCs w:val="20"/>
              </w:rPr>
            </w:pPr>
            <w:r>
              <w:rPr>
                <w:b/>
                <w:color w:val="000000"/>
                <w:sz w:val="20"/>
                <w:szCs w:val="20"/>
              </w:rPr>
              <w:t>审核员</w:t>
            </w:r>
          </w:p>
        </w:tc>
        <w:tc>
          <w:tcPr>
            <w:tcW w:w="2484" w:type="dxa"/>
            <w:gridSpan w:val="3"/>
            <w:vAlign w:val="center"/>
          </w:tcPr>
          <w:p>
            <w:pPr>
              <w:spacing w:line="240" w:lineRule="exact"/>
              <w:jc w:val="center"/>
              <w:rPr>
                <w:b/>
                <w:color w:val="000000"/>
                <w:sz w:val="20"/>
                <w:szCs w:val="20"/>
              </w:rPr>
            </w:pPr>
            <w:r>
              <w:rPr>
                <w:b/>
                <w:color w:val="000000"/>
                <w:sz w:val="20"/>
                <w:szCs w:val="20"/>
              </w:rPr>
              <w:t>18.01.01,18.03.00,19.09.01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097" w:type="dxa"/>
            <w:gridSpan w:val="3"/>
            <w:vAlign w:val="center"/>
          </w:tcPr>
          <w:p>
            <w:pPr>
              <w:rPr>
                <w:b/>
                <w:color w:val="000000"/>
                <w:sz w:val="20"/>
                <w:szCs w:val="20"/>
              </w:rPr>
            </w:pPr>
          </w:p>
        </w:tc>
        <w:tc>
          <w:tcPr>
            <w:tcW w:w="2484"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097" w:type="dxa"/>
            <w:gridSpan w:val="3"/>
            <w:vAlign w:val="center"/>
          </w:tcPr>
          <w:p>
            <w:pPr>
              <w:rPr>
                <w:b/>
                <w:color w:val="000000"/>
                <w:sz w:val="20"/>
                <w:szCs w:val="20"/>
              </w:rPr>
            </w:pPr>
            <w:r>
              <w:rPr>
                <w:rFonts w:hint="eastAsia"/>
                <w:b/>
                <w:color w:val="000000"/>
                <w:sz w:val="20"/>
                <w:szCs w:val="20"/>
              </w:rPr>
              <w:t>工作单位</w:t>
            </w:r>
          </w:p>
        </w:tc>
        <w:tc>
          <w:tcPr>
            <w:tcW w:w="2484"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097" w:type="dxa"/>
            <w:gridSpan w:val="3"/>
            <w:vAlign w:val="center"/>
          </w:tcPr>
          <w:p>
            <w:pPr>
              <w:rPr>
                <w:b/>
                <w:color w:val="000000"/>
              </w:rPr>
            </w:pPr>
          </w:p>
        </w:tc>
        <w:tc>
          <w:tcPr>
            <w:tcW w:w="2484" w:type="dxa"/>
            <w:gridSpan w:val="3"/>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097" w:type="dxa"/>
            <w:gridSpan w:val="3"/>
            <w:vAlign w:val="center"/>
          </w:tcPr>
          <w:p>
            <w:pPr>
              <w:rPr>
                <w:b/>
                <w:color w:val="000000"/>
              </w:rPr>
            </w:pPr>
          </w:p>
        </w:tc>
        <w:tc>
          <w:tcPr>
            <w:tcW w:w="2484" w:type="dxa"/>
            <w:gridSpan w:val="3"/>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重庆创润绿宝通用机械有限公司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重庆市合川区工业园区核心区HC14-003-14</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600000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重庆市合川区工业园区核心区HC14-003-14</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600000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马</w:t>
            </w:r>
            <w:r>
              <w:rPr>
                <w:rFonts w:hint="eastAsia" w:ascii="宋体"/>
                <w:b/>
                <w:color w:val="000000"/>
                <w:sz w:val="20"/>
                <w:szCs w:val="20"/>
                <w:lang w:eastAsia="zh-CN"/>
              </w:rPr>
              <w:t>林</w:t>
            </w:r>
            <w:bookmarkStart w:id="17" w:name="_GoBack"/>
            <w:bookmarkEnd w:id="17"/>
            <w:r>
              <w:rPr>
                <w:rFonts w:ascii="宋体"/>
                <w:b/>
                <w:color w:val="000000"/>
                <w:sz w:val="20"/>
                <w:szCs w:val="20"/>
              </w:rPr>
              <w:t>珊</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13883822229</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姚俐君</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马琳珊</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通用小型汽油机（许可证范围内）、汽油发电机组、汽油水泵机组的生产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18.01.01;18.03.00;19.09.01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cs="宋体"/>
          <w:color w:val="000000"/>
          <w:szCs w:val="24"/>
          <w:lang w:eastAsia="zh-CN"/>
        </w:rPr>
      </w:pPr>
      <w:r>
        <w:rPr>
          <w:rFonts w:hint="eastAsia" w:ascii="宋体" w:hAnsi="宋体"/>
          <w:b/>
          <w:color w:val="000000"/>
          <w:sz w:val="20"/>
          <w:szCs w:val="20"/>
        </w:rPr>
        <w:t>部门：</w:t>
      </w:r>
      <w:r>
        <w:rPr>
          <w:rFonts w:hint="eastAsia" w:ascii="宋体" w:hAnsi="宋体" w:cs="宋体"/>
          <w:color w:val="000000"/>
          <w:szCs w:val="24"/>
          <w:lang w:eastAsia="zh-CN"/>
        </w:rPr>
        <w:t>供销部、生技部、行政部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t>重庆市江北区寸滩曙光工业园区C区7栋6楼</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2</w:t>
            </w:r>
            <w:r>
              <w:rPr>
                <w:rFonts w:hint="eastAsia" w:ascii="宋体" w:hAnsi="宋体"/>
                <w:color w:val="000000" w:themeColor="text1"/>
                <w:sz w:val="20"/>
                <w:szCs w:val="20"/>
              </w:rPr>
              <w:t>）质量管理体系是否删减</w:t>
            </w:r>
          </w:p>
        </w:tc>
        <w:tc>
          <w:tcPr>
            <w:tcW w:w="970" w:type="dxa"/>
            <w:gridSpan w:val="2"/>
          </w:tcPr>
          <w:p>
            <w:pPr>
              <w:rPr>
                <w:rFonts w:ascii="宋体"/>
                <w:color w:val="000000" w:themeColor="text1"/>
                <w:spacing w:val="-10"/>
                <w:sz w:val="20"/>
                <w:szCs w:val="20"/>
              </w:rPr>
            </w:pPr>
            <w:r>
              <w:rPr>
                <w:rFonts w:hint="eastAsia"/>
                <w:b/>
                <w:color w:val="000000" w:themeColor="text1"/>
                <w:spacing w:val="-10"/>
                <w:szCs w:val="21"/>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3</w:t>
            </w:r>
            <w:r>
              <w:rPr>
                <w:rFonts w:hint="eastAsia" w:ascii="宋体" w:hAnsi="宋体"/>
                <w:color w:val="000000" w:themeColor="text1"/>
                <w:sz w:val="20"/>
                <w:szCs w:val="20"/>
              </w:rPr>
              <w:t xml:space="preserve">）删减是否合理 </w:t>
            </w:r>
          </w:p>
        </w:tc>
        <w:tc>
          <w:tcPr>
            <w:tcW w:w="970" w:type="dxa"/>
            <w:gridSpan w:val="2"/>
          </w:tcPr>
          <w:p>
            <w:pPr>
              <w:rPr>
                <w:rFonts w:ascii="宋体"/>
                <w:color w:val="000000" w:themeColor="text1"/>
                <w:spacing w:val="-10"/>
                <w:sz w:val="20"/>
                <w:szCs w:val="20"/>
              </w:rPr>
            </w:pPr>
            <w:r>
              <w:rPr>
                <w:rFonts w:hint="eastAsia"/>
                <w:b/>
                <w:color w:val="000000" w:themeColor="text1"/>
                <w:spacing w:val="-10"/>
                <w:szCs w:val="21"/>
              </w:rPr>
              <w:t>☑</w:t>
            </w:r>
            <w:r>
              <w:rPr>
                <w:rFonts w:hint="eastAsia" w:ascii="宋体" w:hAnsi="宋体"/>
                <w:color w:val="000000" w:themeColor="text1"/>
                <w:sz w:val="20"/>
                <w:szCs w:val="20"/>
              </w:rPr>
              <w:t>合理</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4</w:t>
            </w:r>
            <w:r>
              <w:rPr>
                <w:rFonts w:hint="eastAsia" w:ascii="宋体" w:hAnsi="宋体"/>
                <w:color w:val="000000" w:themeColor="text1"/>
                <w:sz w:val="20"/>
                <w:szCs w:val="20"/>
              </w:rPr>
              <w:t>）是否进行了过程识别</w:t>
            </w:r>
          </w:p>
        </w:tc>
        <w:tc>
          <w:tcPr>
            <w:tcW w:w="970" w:type="dxa"/>
            <w:gridSpan w:val="2"/>
          </w:tcPr>
          <w:p>
            <w:pPr>
              <w:rPr>
                <w:rFonts w:ascii="宋体"/>
                <w:color w:val="000000" w:themeColor="text1"/>
                <w:spacing w:val="-10"/>
                <w:sz w:val="20"/>
                <w:szCs w:val="20"/>
              </w:rPr>
            </w:pPr>
            <w:r>
              <w:rPr>
                <w:rFonts w:hint="eastAsia"/>
                <w:b/>
                <w:color w:val="000000" w:themeColor="text1"/>
                <w:spacing w:val="-10"/>
                <w:szCs w:val="21"/>
                <w:lang w:eastAsia="zh-CN"/>
              </w:rPr>
              <w:t>☑</w:t>
            </w: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themeColor="text1"/>
                <w:spacing w:val="-10"/>
                <w:sz w:val="20"/>
                <w:szCs w:val="20"/>
              </w:rPr>
            </w:pPr>
            <w:r>
              <w:rPr>
                <w:rFonts w:hint="eastAsia" w:ascii="宋体" w:hAnsi="宋体"/>
                <w:color w:val="000000" w:themeColor="text1"/>
                <w:sz w:val="20"/>
                <w:szCs w:val="20"/>
              </w:rPr>
              <w:t>□是</w:t>
            </w:r>
          </w:p>
        </w:tc>
        <w:tc>
          <w:tcPr>
            <w:tcW w:w="1308" w:type="dxa"/>
            <w:gridSpan w:val="2"/>
          </w:tcPr>
          <w:p>
            <w:pPr>
              <w:rPr>
                <w:rFonts w:ascii="宋体"/>
                <w:color w:val="000000" w:themeColor="text1"/>
                <w:spacing w:val="-10"/>
                <w:sz w:val="20"/>
                <w:szCs w:val="20"/>
              </w:rPr>
            </w:pPr>
            <w:r>
              <w:rPr>
                <w:rFonts w:hint="eastAsia" w:ascii="MS Mincho" w:hAnsi="MS Mincho" w:eastAsia="MS Mincho" w:cs="MS Mincho"/>
                <w:b/>
                <w:color w:val="000000" w:themeColor="text1"/>
                <w:spacing w:val="-10"/>
                <w:szCs w:val="21"/>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ascii="宋体" w:hAnsi="宋体"/>
                <w:b/>
                <w:color w:val="000000"/>
                <w:sz w:val="20"/>
                <w:szCs w:val="20"/>
              </w:rPr>
              <w:t>通用小型汽油机（许可证范围内）、汽油发电机组、汽油水泵机组的生产</w:t>
            </w:r>
          </w:p>
          <w:p>
            <w:pPr>
              <w:tabs>
                <w:tab w:val="left" w:pos="360"/>
              </w:tabs>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eastAsia" w:ascii="宋体" w:hAnsi="宋体"/>
                <w:b/>
                <w:color w:val="000000"/>
                <w:sz w:val="20"/>
                <w:szCs w:val="20"/>
                <w:lang w:eastAsia="zh-CN"/>
              </w:rPr>
            </w:pPr>
            <w:r>
              <w:rPr>
                <w:rFonts w:hint="eastAsia" w:ascii="宋体" w:hAnsi="宋体"/>
                <w:b/>
                <w:color w:val="000000"/>
                <w:sz w:val="20"/>
                <w:szCs w:val="20"/>
              </w:rPr>
              <w:t>公司部门设置：</w:t>
            </w:r>
            <w:r>
              <w:rPr>
                <w:rFonts w:hint="eastAsia" w:ascii="宋体" w:hAnsi="宋体" w:cs="宋体"/>
                <w:color w:val="000000"/>
                <w:szCs w:val="24"/>
                <w:lang w:eastAsia="zh-CN"/>
              </w:rPr>
              <w:t>供销部、生技部、行政部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cs="宋体"/>
                <w:color w:val="000000"/>
                <w:szCs w:val="24"/>
                <w:lang w:eastAsia="zh-CN"/>
              </w:rPr>
              <w:t>行政部</w:t>
            </w:r>
          </w:p>
          <w:p>
            <w:pPr>
              <w:tabs>
                <w:tab w:val="left" w:pos="360"/>
              </w:tabs>
              <w:spacing w:beforeLines="50"/>
              <w:ind w:left="357" w:hanging="357"/>
              <w:rPr>
                <w:rFonts w:hint="eastAsia" w:ascii="宋体" w:hAnsi="宋体" w:cs="宋体"/>
                <w:color w:val="000000"/>
                <w:szCs w:val="24"/>
                <w:lang w:eastAsia="zh-CN"/>
              </w:rPr>
            </w:pPr>
            <w:r>
              <w:rPr>
                <w:rFonts w:hint="eastAsia" w:ascii="宋体" w:hAnsi="宋体"/>
                <w:b/>
                <w:color w:val="000000"/>
                <w:sz w:val="20"/>
                <w:szCs w:val="20"/>
              </w:rPr>
              <w:t>质量管理部门：</w:t>
            </w:r>
            <w:r>
              <w:rPr>
                <w:rFonts w:hint="eastAsia" w:ascii="宋体" w:hAnsi="宋体" w:cs="宋体"/>
                <w:color w:val="000000"/>
                <w:szCs w:val="24"/>
                <w:lang w:eastAsia="zh-CN"/>
              </w:rPr>
              <w:t>生技部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r>
              <w:rPr>
                <w:rFonts w:ascii="宋体"/>
                <w:b/>
                <w:color w:val="000000"/>
                <w:sz w:val="20"/>
                <w:szCs w:val="20"/>
              </w:rPr>
              <w:t>重庆市合川区工业园区核心区HC14-003-14</w:t>
            </w:r>
            <w:r>
              <w:rPr>
                <w:rFonts w:hint="eastAsia" w:ascii="宋体" w:hAnsi="宋体" w:cs="宋体"/>
                <w:sz w:val="21"/>
                <w:szCs w:val="21"/>
              </w:rPr>
              <w:t>。</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其使用的建筑设施是：</w:t>
            </w:r>
            <w:r>
              <w:rPr>
                <w:rFonts w:hint="eastAsia" w:ascii="宋体" w:hAnsi="宋体"/>
                <w:color w:val="000000"/>
                <w:sz w:val="20"/>
                <w:szCs w:val="20"/>
                <w:lang w:eastAsia="zh-CN"/>
              </w:rPr>
              <w:t>□</w:t>
            </w:r>
            <w:r>
              <w:rPr>
                <w:rFonts w:hint="eastAsia" w:ascii="宋体" w:hAnsi="宋体"/>
                <w:color w:val="000000"/>
                <w:sz w:val="20"/>
                <w:szCs w:val="20"/>
              </w:rPr>
              <w:t>自</w:t>
            </w:r>
            <w:r>
              <w:rPr>
                <w:rFonts w:hint="eastAsia" w:ascii="宋体" w:hAnsi="宋体"/>
                <w:color w:val="000000"/>
                <w:sz w:val="20"/>
                <w:szCs w:val="20"/>
                <w:lang w:eastAsia="zh-CN"/>
              </w:rPr>
              <w:t>有</w:t>
            </w:r>
            <w:r>
              <w:rPr>
                <w:rFonts w:hint="eastAsia" w:ascii="宋体" w:hAnsi="宋体"/>
                <w:color w:val="000000"/>
                <w:sz w:val="20"/>
                <w:szCs w:val="20"/>
              </w:rPr>
              <w:t xml:space="preserve">办公用房    </w:t>
            </w:r>
            <w:r>
              <w:rPr>
                <w:rFonts w:hint="eastAsia" w:ascii="宋体" w:hAnsi="宋体"/>
                <w:color w:val="000000"/>
                <w:sz w:val="20"/>
                <w:szCs w:val="20"/>
                <w:lang w:eastAsia="zh-CN"/>
              </w:rPr>
              <w:t>☑</w:t>
            </w:r>
            <w:r>
              <w:rPr>
                <w:rFonts w:hint="eastAsia" w:ascii="宋体" w:hAnsi="宋体"/>
                <w:color w:val="000000"/>
                <w:sz w:val="20"/>
                <w:szCs w:val="20"/>
              </w:rPr>
              <w:t xml:space="preserve">自建厂房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ind w:firstLine="1000" w:firstLineChars="500"/>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0" w:lineRule="atLeast"/>
              <w:jc w:val="left"/>
              <w:rPr>
                <w:rFonts w:hint="eastAsia" w:ascii="宋体"/>
                <w:color w:val="000000"/>
                <w:sz w:val="20"/>
                <w:szCs w:val="20"/>
                <w:lang w:eastAsia="zh-CN"/>
              </w:rPr>
            </w:pPr>
            <w:r>
              <w:rPr>
                <w:rFonts w:hint="eastAsia" w:ascii="宋体"/>
                <w:color w:val="000000"/>
                <w:sz w:val="20"/>
                <w:szCs w:val="20"/>
              </w:rPr>
              <w:t>□产品技术标准号：B/T51352-20代替JB/T5135.1-2001通用小型汽油机第2部分:台架性能试验方法</w:t>
            </w:r>
            <w:r>
              <w:rPr>
                <w:rFonts w:hint="eastAsia" w:ascii="宋体"/>
                <w:color w:val="000000"/>
                <w:sz w:val="20"/>
                <w:szCs w:val="20"/>
                <w:lang w:eastAsia="zh-CN"/>
              </w:rPr>
              <w:t>、</w:t>
            </w:r>
            <w:r>
              <w:rPr>
                <w:rFonts w:hint="eastAsia" w:ascii="宋体"/>
                <w:color w:val="000000"/>
                <w:sz w:val="20"/>
                <w:szCs w:val="20"/>
              </w:rPr>
              <w:t>JB/51351-2013代替JB/T5135.3-2001通用小型汽油机第1部分:技术条件</w:t>
            </w:r>
            <w:r>
              <w:rPr>
                <w:rFonts w:hint="eastAsia" w:ascii="宋体"/>
                <w:color w:val="000000"/>
                <w:sz w:val="20"/>
                <w:szCs w:val="20"/>
                <w:lang w:eastAsia="zh-CN"/>
              </w:rPr>
              <w:t>、</w:t>
            </w:r>
            <w:r>
              <w:rPr>
                <w:rFonts w:hint="eastAsia" w:ascii="宋体"/>
                <w:color w:val="000000"/>
                <w:sz w:val="20"/>
                <w:szCs w:val="20"/>
              </w:rPr>
              <w:t>JB/T51353-20代替JB/T5135.2-2001通用小型汽油机第3部分:可靠性、耐久性试验与评定方法</w:t>
            </w:r>
            <w:r>
              <w:rPr>
                <w:rFonts w:hint="eastAsia" w:ascii="宋体"/>
                <w:color w:val="000000"/>
                <w:sz w:val="20"/>
                <w:szCs w:val="20"/>
                <w:lang w:eastAsia="zh-CN"/>
              </w:rPr>
              <w:t>、GB/T 24673-2009小型汽油机直联高速离心泵、企业标准</w:t>
            </w:r>
            <w:r>
              <w:rPr>
                <w:rFonts w:hint="eastAsia" w:ascii="宋体"/>
                <w:color w:val="000000"/>
                <w:sz w:val="20"/>
                <w:szCs w:val="20"/>
                <w:lang w:val="en-US" w:eastAsia="zh-CN"/>
              </w:rPr>
              <w:t>Q/CR001-2019通用汽油机、JB/T10304-2001《工频汽油发电机组技术条件》</w:t>
            </w:r>
            <w:r>
              <w:rPr>
                <w:rFonts w:hint="eastAsia" w:ascii="宋体"/>
                <w:color w:val="000000"/>
                <w:sz w:val="20"/>
                <w:szCs w:val="20"/>
              </w:rPr>
              <w:t>和客户要求及协议</w:t>
            </w:r>
            <w:r>
              <w:rPr>
                <w:rFonts w:hint="eastAsia" w:ascii="宋体"/>
                <w:color w:val="000000"/>
                <w:sz w:val="20"/>
                <w:szCs w:val="20"/>
                <w:lang w:eastAsia="zh-CN"/>
              </w:rPr>
              <w:t>。</w:t>
            </w:r>
          </w:p>
          <w:p>
            <w:pPr>
              <w:rPr>
                <w:rFonts w:ascii="宋体"/>
                <w:color w:val="000000"/>
                <w:spacing w:val="-10"/>
                <w:sz w:val="20"/>
                <w:szCs w:val="20"/>
              </w:rPr>
            </w:pPr>
            <w:r>
              <w:rPr>
                <w:rFonts w:hint="eastAsia" w:ascii="宋体"/>
                <w:color w:val="000000"/>
                <w:sz w:val="20"/>
                <w:szCs w:val="20"/>
                <w:lang w:eastAsia="zh-CN"/>
              </w:rPr>
              <w:t>□</w:t>
            </w: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hAnsi="宋体"/>
                <w:sz w:val="21"/>
                <w:szCs w:val="21"/>
              </w:rPr>
            </w:pPr>
            <w:r>
              <w:rPr>
                <w:rFonts w:hint="eastAsia" w:ascii="宋体" w:hAnsi="宋体"/>
                <w:sz w:val="21"/>
                <w:szCs w:val="21"/>
              </w:rPr>
              <w:t xml:space="preserve">现场是否有产品检验报告  </w:t>
            </w:r>
            <w:r>
              <w:rPr>
                <w:rFonts w:hint="eastAsia" w:ascii="宋体" w:hAnsi="宋体"/>
                <w:sz w:val="21"/>
                <w:szCs w:val="21"/>
                <w:lang w:eastAsia="zh-CN"/>
              </w:rPr>
              <w:t>☑</w:t>
            </w:r>
            <w:r>
              <w:rPr>
                <w:rFonts w:hint="eastAsia" w:ascii="宋体" w:hAnsi="宋体"/>
                <w:sz w:val="21"/>
                <w:szCs w:val="21"/>
              </w:rPr>
              <w:t>是</w:t>
            </w:r>
            <w:r>
              <w:rPr>
                <w:rFonts w:hint="eastAsia" w:ascii="宋体" w:hAnsi="宋体"/>
                <w:sz w:val="21"/>
                <w:szCs w:val="21"/>
                <w:lang w:eastAsia="zh-CN"/>
              </w:rPr>
              <w:t>□</w:t>
            </w:r>
            <w:r>
              <w:rPr>
                <w:rFonts w:hint="eastAsia" w:ascii="宋体" w:hAnsi="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sz w:val="21"/>
                <w:szCs w:val="21"/>
              </w:rPr>
            </w:pPr>
            <w:r>
              <w:rPr>
                <w:rFonts w:hint="eastAsia" w:ascii="宋体" w:hAnsi="宋体"/>
                <w:sz w:val="21"/>
                <w:szCs w:val="21"/>
              </w:rPr>
              <w:t>是否需要型式试验□是</w:t>
            </w:r>
            <w:r>
              <w:rPr>
                <w:rFonts w:hint="eastAsia" w:ascii="宋体" w:hAnsi="宋体"/>
                <w:sz w:val="21"/>
                <w:szCs w:val="21"/>
                <w:lang w:eastAsia="zh-CN"/>
              </w:rPr>
              <w:t>☑</w:t>
            </w:r>
            <w:r>
              <w:rPr>
                <w:rFonts w:hint="eastAsia" w:ascii="宋体" w:hAnsi="宋体"/>
                <w:sz w:val="21"/>
                <w:szCs w:val="21"/>
              </w:rPr>
              <w:t>否，是否有型式试验报告□是</w:t>
            </w:r>
            <w:r>
              <w:rPr>
                <w:rFonts w:hint="eastAsia" w:ascii="宋体" w:hAnsi="宋体"/>
                <w:sz w:val="21"/>
                <w:szCs w:val="21"/>
                <w:lang w:eastAsia="zh-CN"/>
              </w:rPr>
              <w:t>□</w:t>
            </w:r>
            <w:r>
              <w:rPr>
                <w:rFonts w:hint="eastAsia" w:ascii="宋体" w:hAnsi="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szCs w:val="21"/>
              </w:rPr>
              <w:t>通用小型汽油机（许可证范围内）、汽油发电机组、汽油水泵机组的生产</w:t>
            </w:r>
            <w:r>
              <w:rPr>
                <w:rFonts w:hint="eastAsia" w:ascii="宋体" w:hAnsi="宋体"/>
                <w:szCs w:val="21"/>
                <w:lang w:eastAsia="zh-CN"/>
              </w:rPr>
              <w:t>工艺流程：</w:t>
            </w:r>
            <w:r>
              <w:rPr>
                <w:rFonts w:hint="eastAsia" w:ascii="宋体" w:hAnsi="宋体"/>
                <w:szCs w:val="21"/>
              </w:rPr>
              <w:t>进货检验→零部件组装→流水线装配</w:t>
            </w:r>
            <w:r>
              <w:rPr>
                <w:rFonts w:hint="eastAsia" w:ascii="宋体" w:hAnsi="宋体"/>
                <w:szCs w:val="21"/>
                <w:lang w:eastAsia="zh-CN"/>
              </w:rPr>
              <w:t>（加装水泵或电机）</w:t>
            </w:r>
            <w:r>
              <w:rPr>
                <w:rFonts w:hint="eastAsia" w:ascii="宋体" w:hAnsi="宋体"/>
                <w:szCs w:val="21"/>
              </w:rPr>
              <w:t>→测试→贴花→包装→入库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zCs w:val="21"/>
                <w:lang w:eastAsia="zh-CN"/>
              </w:rPr>
              <w:t>组装过程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w:t>
            </w:r>
            <w:r>
              <w:rPr>
                <w:rFonts w:hint="eastAsia" w:ascii="宋体" w:hAnsi="宋体"/>
                <w:color w:val="000000" w:themeColor="text1"/>
                <w:spacing w:val="-10"/>
                <w:sz w:val="20"/>
                <w:szCs w:val="20"/>
                <w:lang w:eastAsia="zh-CN"/>
              </w:rPr>
              <w:t>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ascii="宋体" w:hAnsi="宋体" w:eastAsia="宋体"/>
                <w:color w:val="000000"/>
                <w:spacing w:val="-10"/>
                <w:sz w:val="20"/>
                <w:szCs w:val="20"/>
                <w:lang w:eastAsia="zh-CN"/>
              </w:rPr>
            </w:pPr>
            <w:r>
              <w:rPr>
                <w:rFonts w:hint="eastAsia" w:ascii="宋体" w:hAnsi="宋体"/>
                <w:color w:val="000000"/>
                <w:spacing w:val="-10"/>
                <w:sz w:val="20"/>
                <w:szCs w:val="20"/>
              </w:rPr>
              <w:t>主要</w:t>
            </w:r>
            <w:r>
              <w:rPr>
                <w:rFonts w:hint="eastAsia" w:ascii="宋体" w:hAnsi="宋体"/>
                <w:color w:val="000000" w:themeColor="text1"/>
                <w:spacing w:val="-10"/>
                <w:sz w:val="20"/>
                <w:szCs w:val="20"/>
              </w:rPr>
              <w:t>设备：</w:t>
            </w:r>
            <w:r>
              <w:rPr>
                <w:rFonts w:hint="eastAsia"/>
                <w:color w:val="000000"/>
                <w:sz w:val="21"/>
                <w:szCs w:val="21"/>
                <w:lang w:eastAsia="zh-CN"/>
              </w:rPr>
              <w:t>动力</w:t>
            </w:r>
            <w:r>
              <w:rPr>
                <w:rFonts w:hint="eastAsia"/>
                <w:color w:val="000000"/>
                <w:sz w:val="21"/>
                <w:szCs w:val="21"/>
              </w:rPr>
              <w:t>装配线、</w:t>
            </w:r>
            <w:r>
              <w:rPr>
                <w:rFonts w:hint="eastAsia"/>
                <w:color w:val="000000"/>
                <w:sz w:val="21"/>
                <w:szCs w:val="21"/>
                <w:lang w:eastAsia="zh-CN"/>
              </w:rPr>
              <w:t>机组装配线、</w:t>
            </w:r>
            <w:r>
              <w:rPr>
                <w:rFonts w:hint="eastAsia"/>
                <w:color w:val="000000"/>
                <w:sz w:val="21"/>
                <w:szCs w:val="21"/>
              </w:rPr>
              <w:t>涡轮测功台、扳手、气动</w:t>
            </w:r>
            <w:r>
              <w:rPr>
                <w:rFonts w:hint="eastAsia"/>
                <w:color w:val="000000"/>
                <w:sz w:val="21"/>
                <w:szCs w:val="21"/>
                <w:lang w:eastAsia="zh-CN"/>
              </w:rPr>
              <w:t>枪、空压机、装配工装、动力在线测试系统、打标机、包装流水线等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themeColor="text1"/>
                <w:spacing w:val="-10"/>
                <w:sz w:val="20"/>
                <w:szCs w:val="20"/>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olor w:val="000000" w:themeColor="text1"/>
                <w:sz w:val="21"/>
                <w:szCs w:val="21"/>
                <w:lang w:eastAsia="zh-CN"/>
              </w:rPr>
              <w:t>转速表、</w:t>
            </w:r>
            <w:r>
              <w:rPr>
                <w:rFonts w:hint="eastAsia"/>
                <w:color w:val="000000" w:themeColor="text1"/>
                <w:szCs w:val="21"/>
              </w:rPr>
              <w:t>偏摆仪、</w:t>
            </w:r>
            <w:r>
              <w:rPr>
                <w:rFonts w:hint="eastAsia"/>
                <w:color w:val="000000" w:themeColor="text1"/>
                <w:szCs w:val="21"/>
                <w:lang w:eastAsia="zh-CN"/>
              </w:rPr>
              <w:t>红外线测温仪</w:t>
            </w:r>
            <w:r>
              <w:rPr>
                <w:rFonts w:hint="eastAsia"/>
                <w:color w:val="000000" w:themeColor="text1"/>
                <w:szCs w:val="21"/>
              </w:rPr>
              <w:t>、硬度计、</w:t>
            </w:r>
            <w:r>
              <w:rPr>
                <w:rFonts w:hint="eastAsia"/>
                <w:color w:val="000000" w:themeColor="text1"/>
                <w:szCs w:val="21"/>
                <w:lang w:eastAsia="zh-CN"/>
              </w:rPr>
              <w:t>空盒气压表</w:t>
            </w:r>
            <w:r>
              <w:rPr>
                <w:rFonts w:hint="eastAsia"/>
                <w:color w:val="000000" w:themeColor="text1"/>
                <w:szCs w:val="21"/>
              </w:rPr>
              <w:t>、</w:t>
            </w:r>
            <w:r>
              <w:rPr>
                <w:rFonts w:hint="eastAsia"/>
                <w:color w:val="000000" w:themeColor="text1"/>
                <w:szCs w:val="21"/>
                <w:lang w:eastAsia="zh-CN"/>
              </w:rPr>
              <w:t>扭矩扳子</w:t>
            </w:r>
            <w:r>
              <w:rPr>
                <w:rFonts w:hint="eastAsia"/>
                <w:color w:val="000000" w:themeColor="text1"/>
                <w:szCs w:val="21"/>
              </w:rPr>
              <w:t>、游标卡尺、千分尺、</w:t>
            </w:r>
            <w:r>
              <w:rPr>
                <w:rFonts w:hint="eastAsia"/>
                <w:color w:val="000000" w:themeColor="text1"/>
                <w:szCs w:val="21"/>
                <w:lang w:eastAsia="zh-CN"/>
              </w:rPr>
              <w:t>粗糙度仪、气动量仪校对规、百分表、平板</w:t>
            </w:r>
            <w:r>
              <w:rPr>
                <w:rFonts w:hint="eastAsia" w:ascii="宋体" w:hAnsi="宋体"/>
                <w:color w:val="000000" w:themeColor="text1"/>
                <w:sz w:val="21"/>
                <w:szCs w:val="21"/>
              </w:rPr>
              <w:t>等</w:t>
            </w:r>
            <w:r>
              <w:rPr>
                <w:rFonts w:hint="eastAsia" w:ascii="宋体" w:hAnsi="宋体"/>
                <w:color w:val="000000" w:themeColor="text1"/>
                <w:sz w:val="21"/>
                <w:szCs w:val="21"/>
                <w:lang w:eastAsia="zh-CN"/>
              </w:rPr>
              <w:t>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hint="eastAsia" w:ascii="宋体" w:hAnsi="宋体"/>
          <w:b/>
          <w:color w:val="000000"/>
          <w:spacing w:val="-2"/>
          <w:sz w:val="22"/>
          <w:szCs w:val="22"/>
        </w:rPr>
      </w:pPr>
    </w:p>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生产现场</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 w:val="21"/>
                <w:szCs w:val="21"/>
                <w:lang w:eastAsia="zh-CN"/>
              </w:rPr>
              <w:t>2019</w:t>
            </w:r>
            <w:r>
              <w:rPr>
                <w:rFonts w:hint="eastAsia"/>
                <w:sz w:val="21"/>
                <w:szCs w:val="21"/>
              </w:rPr>
              <w:t>年</w:t>
            </w:r>
            <w:r>
              <w:rPr>
                <w:rFonts w:hint="eastAsia"/>
                <w:sz w:val="21"/>
                <w:szCs w:val="21"/>
                <w:lang w:eastAsia="zh-CN"/>
              </w:rPr>
              <w:t>0</w:t>
            </w:r>
            <w:r>
              <w:rPr>
                <w:rFonts w:hint="eastAsia"/>
                <w:sz w:val="21"/>
                <w:szCs w:val="21"/>
                <w:lang w:val="en-US" w:eastAsia="zh-CN"/>
              </w:rPr>
              <w:t>6月20</w:t>
            </w:r>
            <w:r>
              <w:rPr>
                <w:rFonts w:hint="eastAsia"/>
                <w:sz w:val="21"/>
                <w:szCs w:val="21"/>
              </w:rPr>
              <w:t>日</w:t>
            </w:r>
            <w:r>
              <w:rPr>
                <w:rFonts w:hint="eastAsia"/>
                <w:szCs w:val="21"/>
              </w:rPr>
              <w:t>进行了内部审核。内部审核组组成：</w:t>
            </w:r>
            <w:r>
              <w:rPr>
                <w:rFonts w:hint="eastAsia" w:ascii="宋体" w:hAnsi="宋体" w:cs="宋体"/>
                <w:color w:val="000000"/>
              </w:rPr>
              <w:t>组长：</w:t>
            </w:r>
            <w:r>
              <w:rPr>
                <w:rFonts w:hint="eastAsia" w:ascii="宋体" w:hAnsi="宋体" w:cs="宋体"/>
                <w:color w:val="000000"/>
                <w:lang w:eastAsia="zh-CN"/>
              </w:rPr>
              <w:t>马林珊（总经理、管代）</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组员：陶西平</w:t>
            </w:r>
            <w:r>
              <w:rPr>
                <w:rFonts w:hint="eastAsia" w:ascii="宋体" w:hAnsi="宋体" w:cs="宋体"/>
                <w:color w:val="000000"/>
                <w:lang w:eastAsia="zh-CN"/>
              </w:rPr>
              <w:t>（行政部）</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210" w:firstLineChars="100"/>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7</w:t>
            </w:r>
            <w:r>
              <w:rPr>
                <w:rFonts w:hint="eastAsia" w:ascii="宋体" w:hAnsi="宋体"/>
                <w:kern w:val="0"/>
                <w:szCs w:val="21"/>
              </w:rPr>
              <w:t>月</w:t>
            </w:r>
            <w:r>
              <w:rPr>
                <w:rFonts w:hint="eastAsia" w:ascii="宋体" w:hAnsi="宋体"/>
                <w:kern w:val="0"/>
                <w:szCs w:val="21"/>
                <w:lang w:val="en-US" w:eastAsia="zh-CN"/>
              </w:rPr>
              <w:t>20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ascii="宋体" w:hAnsi="宋体"/>
          <w:b/>
          <w:color w:val="000000"/>
          <w:sz w:val="20"/>
          <w:szCs w:val="20"/>
        </w:rPr>
        <w:t>通用小型汽油机（许可证范围内）、汽油发电机组、汽油水泵机组的生产</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01" w:firstLineChars="100"/>
        <w:rPr>
          <w:rFonts w:ascii="宋体" w:hAnsi="宋体"/>
          <w:b/>
          <w:color w:val="000000"/>
          <w:sz w:val="20"/>
          <w:szCs w:val="20"/>
          <w:lang w:val="en-GB"/>
        </w:rPr>
      </w:pPr>
    </w:p>
    <w:p>
      <w:pPr>
        <w:spacing w:line="300" w:lineRule="auto"/>
        <w:ind w:firstLine="201" w:firstLineChars="100"/>
        <w:rPr>
          <w:rFonts w:ascii="宋体" w:hAnsi="宋体"/>
          <w:b/>
          <w:color w:val="000000"/>
          <w:sz w:val="20"/>
          <w:szCs w:val="20"/>
          <w:lang w:val="en-GB"/>
        </w:rPr>
      </w:pPr>
    </w:p>
    <w:p>
      <w:pPr>
        <w:spacing w:line="300" w:lineRule="auto"/>
        <w:ind w:firstLine="201" w:firstLineChars="100"/>
        <w:rPr>
          <w:rFonts w:ascii="宋体" w:hAnsi="宋体"/>
          <w:b/>
          <w:color w:val="000000"/>
          <w:sz w:val="20"/>
          <w:szCs w:val="20"/>
          <w:lang w:val="en-GB"/>
        </w:rPr>
      </w:pP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受审核方：重庆创润绿宝通用机械有限公司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hint="eastAsia" w:ascii="宋体" w:eastAsia="宋体"/>
                <w:color w:val="FF0000"/>
                <w:sz w:val="24"/>
                <w:szCs w:val="24"/>
                <w:lang w:val="en-US" w:eastAsia="zh-CN"/>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ascii="宋体"/>
                <w:color w:val="FF0000"/>
                <w:sz w:val="24"/>
                <w:szCs w:val="24"/>
              </w:rPr>
            </w:pPr>
          </w:p>
          <w:p>
            <w:pPr>
              <w:pStyle w:val="4"/>
              <w:pBdr>
                <w:bottom w:val="none" w:color="auto" w:sz="0" w:space="0"/>
              </w:pBdr>
              <w:ind w:right="600"/>
              <w:jc w:val="left"/>
              <w:rPr>
                <w:rFonts w:hint="eastAsia" w:ascii="宋体" w:eastAsia="宋体"/>
                <w:color w:val="FF0000"/>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color w:val="FF0000"/>
                <w:kern w:val="2"/>
                <w:sz w:val="21"/>
                <w:szCs w:val="21"/>
                <w:lang w:val="en-US" w:eastAsia="zh-CN" w:bidi="ar-SA"/>
              </w:rPr>
            </w:pP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color w:val="FF0000"/>
                <w:kern w:val="2"/>
                <w:sz w:val="21"/>
                <w:szCs w:val="21"/>
                <w:lang w:val="en-US" w:eastAsia="zh-CN" w:bidi="ar-SA"/>
              </w:rPr>
            </w:pPr>
          </w:p>
          <w:p>
            <w:pPr>
              <w:pStyle w:val="4"/>
              <w:pBdr>
                <w:bottom w:val="none" w:color="auto" w:sz="0" w:space="0"/>
              </w:pBdr>
              <w:tabs>
                <w:tab w:val="center" w:pos="5737"/>
                <w:tab w:val="clear" w:pos="4153"/>
              </w:tabs>
              <w:ind w:firstLine="420" w:firstLineChars="200"/>
              <w:jc w:val="left"/>
              <w:rPr>
                <w:rFonts w:hint="eastAsia" w:ascii="宋体" w:hAnsi="宋体" w:eastAsia="宋体" w:cs="Times New Roman"/>
                <w:color w:val="FF0000"/>
                <w:kern w:val="2"/>
                <w:sz w:val="21"/>
                <w:szCs w:val="21"/>
                <w:lang w:val="en-US" w:eastAsia="zh-CN" w:bidi="ar-SA"/>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4"/>
              <w:pBdr>
                <w:bottom w:val="none" w:color="auto" w:sz="0" w:space="0"/>
              </w:pBdr>
              <w:ind w:right="600"/>
              <w:jc w:val="left"/>
              <w:rPr>
                <w:color w:val="FF0000"/>
                <w:sz w:val="21"/>
                <w:szCs w:val="21"/>
              </w:rPr>
            </w:pPr>
          </w:p>
          <w:p>
            <w:pPr>
              <w:pStyle w:val="4"/>
              <w:pBdr>
                <w:bottom w:val="none" w:color="auto" w:sz="0" w:space="0"/>
              </w:pBdr>
              <w:ind w:right="600"/>
              <w:jc w:val="left"/>
              <w:rPr>
                <w:color w:val="FF0000"/>
                <w:sz w:val="21"/>
                <w:szCs w:val="21"/>
              </w:rPr>
            </w:pPr>
          </w:p>
          <w:p>
            <w:pPr>
              <w:pStyle w:val="4"/>
              <w:pBdr>
                <w:bottom w:val="none" w:color="auto" w:sz="0" w:space="0"/>
              </w:pBdr>
              <w:ind w:right="600"/>
              <w:jc w:val="left"/>
              <w:rPr>
                <w:color w:val="FF0000"/>
                <w:sz w:val="21"/>
                <w:szCs w:val="21"/>
              </w:rPr>
            </w:pPr>
          </w:p>
          <w:p>
            <w:pPr>
              <w:pStyle w:val="4"/>
              <w:pBdr>
                <w:bottom w:val="none" w:color="auto" w:sz="0" w:space="0"/>
              </w:pBdr>
              <w:ind w:right="600"/>
              <w:jc w:val="left"/>
              <w:rPr>
                <w:color w:val="FF0000"/>
                <w:sz w:val="21"/>
                <w:szCs w:val="21"/>
              </w:rPr>
            </w:pPr>
          </w:p>
          <w:p>
            <w:pPr>
              <w:pStyle w:val="4"/>
              <w:pBdr>
                <w:bottom w:val="none" w:color="auto" w:sz="0" w:space="0"/>
              </w:pBdr>
              <w:ind w:right="600"/>
              <w:jc w:val="left"/>
              <w:rPr>
                <w:color w:val="FF0000"/>
                <w:sz w:val="21"/>
                <w:szCs w:val="21"/>
              </w:rPr>
            </w:pPr>
          </w:p>
          <w:p>
            <w:pPr>
              <w:pStyle w:val="4"/>
              <w:pBdr>
                <w:bottom w:val="none" w:color="auto" w:sz="0" w:space="0"/>
              </w:pBdr>
              <w:ind w:right="600"/>
              <w:jc w:val="left"/>
              <w:rPr>
                <w:color w:val="FF0000"/>
                <w:sz w:val="21"/>
                <w:szCs w:val="21"/>
              </w:rPr>
            </w:pPr>
          </w:p>
          <w:p>
            <w:pPr>
              <w:pStyle w:val="4"/>
              <w:pBdr>
                <w:bottom w:val="none" w:color="auto" w:sz="0" w:space="0"/>
              </w:pBdr>
              <w:ind w:right="600"/>
              <w:jc w:val="left"/>
              <w:rPr>
                <w:rFonts w:hint="default" w:eastAsia="宋体"/>
                <w:color w:val="FF0000"/>
                <w:sz w:val="21"/>
                <w:szCs w:val="21"/>
                <w:lang w:val="en-US" w:eastAsia="zh-CN"/>
              </w:rPr>
            </w:pPr>
          </w:p>
        </w:tc>
        <w:tc>
          <w:tcPr>
            <w:tcW w:w="1811" w:type="dxa"/>
          </w:tcPr>
          <w:p>
            <w:pPr>
              <w:pStyle w:val="4"/>
              <w:pBdr>
                <w:bottom w:val="none" w:color="auto" w:sz="0" w:space="0"/>
              </w:pBdr>
              <w:ind w:right="600"/>
              <w:jc w:val="left"/>
              <w:rPr>
                <w:color w:val="FF0000"/>
                <w:sz w:val="32"/>
                <w:szCs w:val="32"/>
              </w:rPr>
            </w:pPr>
          </w:p>
          <w:p>
            <w:pPr>
              <w:pStyle w:val="4"/>
              <w:pBdr>
                <w:bottom w:val="none" w:color="auto" w:sz="0" w:space="0"/>
              </w:pBdr>
              <w:ind w:right="600"/>
              <w:jc w:val="left"/>
              <w:rPr>
                <w:color w:val="FF0000"/>
                <w:sz w:val="32"/>
                <w:szCs w:val="32"/>
              </w:rPr>
            </w:pPr>
          </w:p>
          <w:p>
            <w:pPr>
              <w:pStyle w:val="4"/>
              <w:pBdr>
                <w:bottom w:val="none" w:color="auto" w:sz="0" w:space="0"/>
              </w:pBdr>
              <w:ind w:right="600"/>
              <w:jc w:val="left"/>
              <w:rPr>
                <w:color w:val="FF0000"/>
                <w:sz w:val="32"/>
                <w:szCs w:val="32"/>
              </w:rPr>
            </w:pPr>
          </w:p>
          <w:p>
            <w:pPr>
              <w:pStyle w:val="4"/>
              <w:pBdr>
                <w:bottom w:val="none" w:color="auto" w:sz="0" w:space="0"/>
              </w:pBdr>
              <w:ind w:right="600"/>
              <w:jc w:val="left"/>
              <w:rPr>
                <w:color w:val="FF0000"/>
                <w:sz w:val="32"/>
                <w:szCs w:val="32"/>
              </w:rPr>
            </w:pPr>
          </w:p>
          <w:p>
            <w:pPr>
              <w:pStyle w:val="4"/>
              <w:pBdr>
                <w:bottom w:val="none" w:color="auto" w:sz="0" w:space="0"/>
              </w:pBdr>
              <w:ind w:right="600"/>
              <w:jc w:val="left"/>
              <w:rPr>
                <w:rFonts w:hint="default" w:eastAsia="宋体"/>
                <w:color w:val="FF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10</w:t>
            </w:r>
            <w:r>
              <w:rPr>
                <w:rFonts w:hint="eastAsia"/>
                <w:b/>
                <w:color w:val="000000"/>
                <w:sz w:val="22"/>
                <w:szCs w:val="22"/>
              </w:rPr>
              <w:t xml:space="preserve">月 </w:t>
            </w:r>
            <w:r>
              <w:rPr>
                <w:rFonts w:hint="eastAsia"/>
                <w:b/>
                <w:color w:val="000000"/>
                <w:sz w:val="22"/>
                <w:szCs w:val="22"/>
                <w:lang w:val="en-US" w:eastAsia="zh-CN"/>
              </w:rPr>
              <w:t>12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 </w:t>
            </w:r>
            <w:r>
              <w:rPr>
                <w:rFonts w:hint="eastAsia"/>
                <w:b/>
                <w:color w:val="000000"/>
                <w:sz w:val="22"/>
                <w:szCs w:val="22"/>
                <w:lang w:val="en-US" w:eastAsia="zh-CN"/>
              </w:rPr>
              <w:t>10</w:t>
            </w:r>
            <w:r>
              <w:rPr>
                <w:rFonts w:hint="eastAsia"/>
                <w:b/>
                <w:color w:val="000000"/>
                <w:sz w:val="22"/>
                <w:szCs w:val="22"/>
              </w:rPr>
              <w:t xml:space="preserve">月 </w:t>
            </w:r>
            <w:r>
              <w:rPr>
                <w:rFonts w:hint="eastAsia"/>
                <w:b/>
                <w:color w:val="000000"/>
                <w:sz w:val="22"/>
                <w:szCs w:val="22"/>
                <w:lang w:val="en-US" w:eastAsia="zh-CN"/>
              </w:rPr>
              <w:t>12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□二阶段</w:t>
            </w:r>
            <w:r>
              <w:rPr>
                <w:rFonts w:hint="eastAsia"/>
                <w:b/>
                <w:color w:val="000000"/>
                <w:spacing w:val="-10"/>
                <w:szCs w:val="21"/>
              </w:rPr>
              <w:t>未</w:t>
            </w:r>
            <w:r>
              <w:rPr>
                <w:rFonts w:hint="eastAsia"/>
                <w:b/>
                <w:color w:val="000000"/>
                <w:szCs w:val="21"/>
              </w:rPr>
              <w:t>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2019</w:t>
            </w:r>
            <w:r>
              <w:rPr>
                <w:rFonts w:hint="eastAsia"/>
                <w:b/>
                <w:color w:val="000000"/>
                <w:sz w:val="22"/>
                <w:szCs w:val="22"/>
              </w:rPr>
              <w:t xml:space="preserve">  年 </w:t>
            </w:r>
            <w:r>
              <w:rPr>
                <w:rFonts w:hint="eastAsia"/>
                <w:b/>
                <w:color w:val="000000"/>
                <w:sz w:val="22"/>
                <w:szCs w:val="22"/>
                <w:lang w:val="en-US" w:eastAsia="zh-CN"/>
              </w:rPr>
              <w:t>10</w:t>
            </w:r>
            <w:r>
              <w:rPr>
                <w:rFonts w:hint="eastAsia"/>
                <w:b/>
                <w:color w:val="000000"/>
                <w:sz w:val="22"/>
                <w:szCs w:val="22"/>
              </w:rPr>
              <w:t xml:space="preserve">月 </w:t>
            </w:r>
            <w:r>
              <w:rPr>
                <w:rFonts w:hint="eastAsia"/>
                <w:b/>
                <w:color w:val="000000"/>
                <w:sz w:val="22"/>
                <w:szCs w:val="22"/>
                <w:lang w:val="en-US" w:eastAsia="zh-CN"/>
              </w:rPr>
              <w:t>12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8A769EB"/>
    <w:rsid w:val="0B1F24B2"/>
    <w:rsid w:val="0C8275B4"/>
    <w:rsid w:val="0D26506B"/>
    <w:rsid w:val="0F256DF2"/>
    <w:rsid w:val="0F3A60D8"/>
    <w:rsid w:val="0F6755B5"/>
    <w:rsid w:val="10013795"/>
    <w:rsid w:val="107D19A6"/>
    <w:rsid w:val="11FF7655"/>
    <w:rsid w:val="13905027"/>
    <w:rsid w:val="1B7C5D4F"/>
    <w:rsid w:val="1CB91E8D"/>
    <w:rsid w:val="1E9E0F00"/>
    <w:rsid w:val="21912F89"/>
    <w:rsid w:val="24CE6858"/>
    <w:rsid w:val="2AF40DDA"/>
    <w:rsid w:val="2AF555A2"/>
    <w:rsid w:val="37AF4BEA"/>
    <w:rsid w:val="396527BF"/>
    <w:rsid w:val="3C335731"/>
    <w:rsid w:val="3D333694"/>
    <w:rsid w:val="3F2266C8"/>
    <w:rsid w:val="40737706"/>
    <w:rsid w:val="41CA360A"/>
    <w:rsid w:val="42317FF1"/>
    <w:rsid w:val="44153258"/>
    <w:rsid w:val="46F219BF"/>
    <w:rsid w:val="49916B26"/>
    <w:rsid w:val="4AC10456"/>
    <w:rsid w:val="4DC951D7"/>
    <w:rsid w:val="4E7F1263"/>
    <w:rsid w:val="4F163653"/>
    <w:rsid w:val="51DB560A"/>
    <w:rsid w:val="533A3EED"/>
    <w:rsid w:val="53535CF4"/>
    <w:rsid w:val="5C1C5C3E"/>
    <w:rsid w:val="5CC237FA"/>
    <w:rsid w:val="5D7A00A7"/>
    <w:rsid w:val="5DEE6D1B"/>
    <w:rsid w:val="5F8D3C9B"/>
    <w:rsid w:val="5FE6444C"/>
    <w:rsid w:val="62D57D8A"/>
    <w:rsid w:val="62D838CB"/>
    <w:rsid w:val="640B1E0C"/>
    <w:rsid w:val="647F5BA5"/>
    <w:rsid w:val="656206D1"/>
    <w:rsid w:val="667978D5"/>
    <w:rsid w:val="67E647E8"/>
    <w:rsid w:val="6AF45348"/>
    <w:rsid w:val="6BBB1423"/>
    <w:rsid w:val="6BF216D2"/>
    <w:rsid w:val="6C3949E6"/>
    <w:rsid w:val="6C4E4063"/>
    <w:rsid w:val="6C8B60DE"/>
    <w:rsid w:val="6CB121D3"/>
    <w:rsid w:val="6D04543C"/>
    <w:rsid w:val="701F7C21"/>
    <w:rsid w:val="7165663F"/>
    <w:rsid w:val="73F04CA8"/>
    <w:rsid w:val="749F3376"/>
    <w:rsid w:val="74E06A6A"/>
    <w:rsid w:val="76530D66"/>
    <w:rsid w:val="768934B1"/>
    <w:rsid w:val="79DA1997"/>
    <w:rsid w:val="7B48571D"/>
    <w:rsid w:val="7B756E70"/>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0</TotalTime>
  <ScaleCrop>false</ScaleCrop>
  <LinksUpToDate>false</LinksUpToDate>
  <CharactersWithSpaces>8175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2019-10-18T08:36:25Z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