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19"/>
        <w:gridCol w:w="1122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样品加工室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主管领导/陪同人员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王全琼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审核时间：2020.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涉及标准条款：Q:5.3/6.2/7.1.3/7.1.4/8.1/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 w:cs="宋体"/>
                <w:sz w:val="21"/>
                <w:szCs w:val="21"/>
              </w:rPr>
              <w:t>/8.5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.1/</w:t>
            </w:r>
            <w:r>
              <w:rPr>
                <w:rFonts w:hint="eastAsia" w:ascii="宋体" w:hAnsi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.2/</w:t>
            </w:r>
            <w:r>
              <w:rPr>
                <w:rFonts w:hint="eastAsia" w:ascii="宋体" w:hAnsi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.4/</w:t>
            </w:r>
            <w:r>
              <w:rPr>
                <w:rFonts w:hint="eastAsia" w:ascii="宋体" w:hAnsi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.5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宋体"/>
                <w:sz w:val="21"/>
                <w:szCs w:val="21"/>
              </w:rPr>
              <w:t>:5.3/6.2/6.1.2/8.1/8.2</w:t>
            </w:r>
          </w:p>
        </w:tc>
        <w:tc>
          <w:tcPr>
            <w:tcW w:w="7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07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组织的岗位职责和权限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QE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O：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5.3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根据手册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）组织并安排加工室的生产任务。</w:t>
            </w:r>
          </w:p>
          <w:p>
            <w:pPr>
              <w:spacing w:line="280" w:lineRule="exact"/>
              <w:ind w:firstLine="42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（2）做好加工室与各科室的沟通工作。</w:t>
            </w:r>
          </w:p>
          <w:p>
            <w:pPr>
              <w:spacing w:line="280" w:lineRule="exact"/>
              <w:ind w:firstLine="42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（3）负责对加工技术的有效指导。</w:t>
            </w:r>
          </w:p>
          <w:p>
            <w:pPr>
              <w:spacing w:line="280" w:lineRule="exact"/>
              <w:ind w:firstLine="42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（4）负责对加工过程的质量监督，并及时解决加工中出现的问题。</w:t>
            </w:r>
          </w:p>
          <w:p>
            <w:pPr>
              <w:spacing w:line="280" w:lineRule="exact"/>
              <w:ind w:firstLine="42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（5）做好原始记录的审核工作，检查记录填写是否完整，数据是否属实。</w:t>
            </w:r>
          </w:p>
          <w:p>
            <w:pPr>
              <w:spacing w:line="280" w:lineRule="exact"/>
              <w:ind w:firstLine="42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（6）组织加工人员进行业务技能的学习。</w:t>
            </w:r>
          </w:p>
          <w:p>
            <w:pPr>
              <w:spacing w:line="280" w:lineRule="exact"/>
              <w:ind w:firstLine="42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（7）完成上级领导交办的其它工作。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707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目标及其实现的策划总要求</w:t>
            </w:r>
          </w:p>
        </w:tc>
        <w:tc>
          <w:tcPr>
            <w:tcW w:w="1019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QE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O：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6.2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管理目标有：                       </w:t>
            </w:r>
          </w:p>
          <w:tbl>
            <w:tblPr>
              <w:tblStyle w:val="9"/>
              <w:tblW w:w="916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08"/>
              <w:gridCol w:w="1335"/>
              <w:gridCol w:w="1857"/>
              <w:gridCol w:w="1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3" w:hRule="atLeast"/>
                <w:jc w:val="center"/>
              </w:trPr>
              <w:tc>
                <w:tcPr>
                  <w:tcW w:w="4908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  <w:t>质量、环境、职业健康安全目标</w:t>
                  </w:r>
                </w:p>
              </w:tc>
              <w:tc>
                <w:tcPr>
                  <w:tcW w:w="4254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考核（20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/>
                      <w:sz w:val="24"/>
                    </w:rPr>
                    <w:t>年0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4"/>
                    </w:rPr>
                    <w:t>月-20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/>
                      <w:sz w:val="24"/>
                    </w:rPr>
                    <w:t>年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 w:val="24"/>
                    </w:rPr>
                    <w:t>月份）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3" w:hRule="atLeast"/>
                <w:jc w:val="center"/>
              </w:trPr>
              <w:tc>
                <w:tcPr>
                  <w:tcW w:w="4908" w:type="dxa"/>
                  <w:vMerge w:val="continue"/>
                  <w:noWrap w:val="0"/>
                  <w:vAlign w:val="center"/>
                </w:tcPr>
                <w:p>
                  <w:pPr>
                    <w:ind w:firstLine="480"/>
                    <w:jc w:val="center"/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考核情况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考核时间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考核人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4908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加工</w:t>
                  </w: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合格率100%；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%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202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.1.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062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总工室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4908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生产安全事故率为零。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202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.1.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062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4908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火灾事故为0。  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202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.1.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062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4908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/>
                    </w:rPr>
                    <w:t>固废分类处置率100%；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202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.1.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062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pStyle w:val="4"/>
              <w:spacing w:line="300" w:lineRule="auto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目标可测量，与公司方针一致。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管理目标完成。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707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基础设施</w:t>
            </w:r>
          </w:p>
        </w:tc>
        <w:tc>
          <w:tcPr>
            <w:tcW w:w="1019" w:type="dxa"/>
            <w:vAlign w:val="top"/>
          </w:tcPr>
          <w:p>
            <w:pPr>
              <w:spacing w:before="120" w:line="3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Cs w:val="21"/>
              </w:rPr>
              <w:t>Q</w:t>
            </w:r>
            <w:r>
              <w:rPr>
                <w:rFonts w:hint="eastAsia" w:ascii="宋体" w:hAnsi="宋体"/>
                <w:color w:val="auto"/>
                <w:szCs w:val="21"/>
              </w:rPr>
              <w:t>7.1.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1223" w:type="dxa"/>
            <w:vAlign w:val="top"/>
          </w:tcPr>
          <w:p>
            <w:pPr>
              <w:pStyle w:val="20"/>
              <w:spacing w:line="340" w:lineRule="exac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4"/>
                <w:lang w:val="en-US"/>
              </w:rPr>
              <w:t>公司注册资金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1100</w:t>
            </w:r>
            <w:r>
              <w:rPr>
                <w:rFonts w:hint="default" w:ascii="宋体" w:hAnsi="宋体"/>
                <w:color w:val="auto"/>
                <w:sz w:val="24"/>
                <w:lang w:val="en-US"/>
              </w:rPr>
              <w:t>万元，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生产</w:t>
            </w:r>
            <w:r>
              <w:rPr>
                <w:rFonts w:hint="default" w:ascii="宋体" w:hAnsi="宋体"/>
                <w:color w:val="auto"/>
                <w:sz w:val="24"/>
                <w:lang w:val="en-US"/>
              </w:rPr>
              <w:t>区域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30000</w:t>
            </w:r>
            <w:r>
              <w:rPr>
                <w:rFonts w:hint="default" w:ascii="宋体" w:hAnsi="宋体"/>
                <w:color w:val="auto"/>
                <w:sz w:val="24"/>
                <w:lang w:val="en-US"/>
              </w:rPr>
              <w:t>多平米，提供了良好的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加工</w:t>
            </w:r>
            <w:r>
              <w:rPr>
                <w:rFonts w:hint="default" w:ascii="宋体" w:hAnsi="宋体"/>
                <w:color w:val="auto"/>
                <w:sz w:val="24"/>
                <w:lang w:val="en-US"/>
              </w:rPr>
              <w:t>环境和较为充分基础设施设备，公司目前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49</w:t>
            </w:r>
            <w:r>
              <w:rPr>
                <w:rFonts w:hint="default" w:ascii="宋体" w:hAnsi="宋体"/>
                <w:color w:val="auto"/>
                <w:sz w:val="24"/>
                <w:lang w:val="en-US"/>
              </w:rPr>
              <w:t>人，提供了基本的技术保障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。</w:t>
            </w: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编辑了《设备控制程序》、《监视和测量控制程序》明确了设备设施的配置、使用、维护、维修管理。提供《生产设备台账》主要设备设施：电热恒温干燥箱，行星球磨机，颚式破碎机，双辊破碎机，圆盘粉碎机， 制样粉碎机，光谱电极车床等等，设备能力基本满足要求。</w:t>
            </w:r>
          </w:p>
          <w:p>
            <w:pPr>
              <w:pStyle w:val="20"/>
              <w:spacing w:line="340" w:lineRule="exac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现场查看，生产检测设备完好，维护保养基本得当，能够满足生产符合要求产品的需要。</w:t>
            </w:r>
          </w:p>
          <w:p>
            <w:pPr>
              <w:pStyle w:val="20"/>
              <w:spacing w:line="340" w:lineRule="exac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制定有“设备年度检修计划”，内容有设备名称、检修时间、检修内容、检修人，提供了设备检修记录。</w:t>
            </w:r>
          </w:p>
          <w:p>
            <w:pPr>
              <w:pStyle w:val="20"/>
              <w:spacing w:line="340" w:lineRule="exac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pStyle w:val="20"/>
              <w:spacing w:line="340" w:lineRule="exac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查看《（ 2020年度 ）设备维护保养计划表》抽生产设备保养、检修情况：电热恒温干燥箱，行星球磨机，颚式破碎机，双辊破碎机，圆盘粉碎机， 制样粉碎机，光谱电极车床等设备“维护保养记录”，其显示了设备名称，保养时间、责任人等。</w:t>
            </w:r>
          </w:p>
          <w:p>
            <w:pPr>
              <w:pStyle w:val="20"/>
              <w:spacing w:line="340" w:lineRule="exac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抽：E-011颚式破碎机，检修内容: 1对油污进行了清理；2对电路进行了检查。</w:t>
            </w:r>
          </w:p>
          <w:p>
            <w:pPr>
              <w:pStyle w:val="20"/>
              <w:spacing w:line="340" w:lineRule="exac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检查验收情况:该设备经过操作者验收使用，检修后的设备运转自如、正常，基本达到了原有设备的性能要求，能满足生产和产品的要求，设备可继续使用。</w:t>
            </w:r>
          </w:p>
          <w:p>
            <w:pPr>
              <w:pStyle w:val="20"/>
              <w:spacing w:line="340" w:lineRule="exac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验收部门: 样品加工室      2020.08.03</w:t>
            </w:r>
          </w:p>
          <w:p>
            <w:pPr>
              <w:pStyle w:val="20"/>
              <w:spacing w:line="340" w:lineRule="exac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记录清晰，写明了维修内容、维修人等内容，满足策划要求。</w:t>
            </w:r>
          </w:p>
          <w:p>
            <w:pPr>
              <w:pStyle w:val="20"/>
              <w:spacing w:line="340" w:lineRule="exact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7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过程运行环境</w:t>
            </w:r>
          </w:p>
        </w:tc>
        <w:tc>
          <w:tcPr>
            <w:tcW w:w="1019" w:type="dxa"/>
            <w:vAlign w:val="top"/>
          </w:tcPr>
          <w:p>
            <w:pPr>
              <w:spacing w:before="120"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Q</w:t>
            </w:r>
            <w:r>
              <w:rPr>
                <w:rFonts w:ascii="宋体" w:hAnsi="宋体"/>
                <w:szCs w:val="21"/>
              </w:rPr>
              <w:t>7.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223" w:type="dxa"/>
            <w:vAlign w:val="top"/>
          </w:tcPr>
          <w:p>
            <w:pPr>
              <w:spacing w:before="120" w:line="340" w:lineRule="exact"/>
              <w:rPr>
                <w:rFonts w:hint="default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公司编辑了《过程运行环境控制程序》，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《5S管理》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为实现产品和服务符合性的现场环境进行管理和控制。确定设备设施定置定位，工作环境严格执行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S要求。提供适宜的工作环境，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现场查看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公司提供工作服、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防尘口罩、手套等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等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，劳保用品。</w:t>
            </w:r>
          </w:p>
        </w:tc>
        <w:tc>
          <w:tcPr>
            <w:tcW w:w="760" w:type="dxa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707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运行的策划和控制</w:t>
            </w:r>
          </w:p>
        </w:tc>
        <w:tc>
          <w:tcPr>
            <w:tcW w:w="1019" w:type="dxa"/>
            <w:vAlign w:val="top"/>
          </w:tcPr>
          <w:p>
            <w:pPr>
              <w:spacing w:before="120"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Q8.1</w:t>
            </w:r>
          </w:p>
        </w:tc>
        <w:tc>
          <w:tcPr>
            <w:tcW w:w="11223" w:type="dxa"/>
            <w:vAlign w:val="top"/>
          </w:tcPr>
          <w:p>
            <w:pPr>
              <w:spacing w:line="340" w:lineRule="exac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公司编制有产品实现的策划程序</w:t>
            </w:r>
            <w:r>
              <w:rPr>
                <w:rFonts w:hint="eastAsia" w:ascii="宋体" w:hAnsi="宋体"/>
                <w:sz w:val="24"/>
                <w:lang w:eastAsia="zh-CN"/>
              </w:rPr>
              <w:t>《生产和服务管理控制程序》、《设备控制程序》，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针对每个设备，制定了设备操作规程。确保各类样品的加工顺利，样品检测</w:t>
            </w:r>
            <w:r>
              <w:rPr>
                <w:rFonts w:hint="eastAsia" w:ascii="宋体" w:hAnsi="宋体"/>
                <w:sz w:val="24"/>
              </w:rPr>
              <w:t>满足相关标准的要求和顾客的要求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样品</w:t>
            </w:r>
            <w:r>
              <w:rPr>
                <w:rFonts w:hint="eastAsia" w:ascii="宋体" w:hAnsi="宋体"/>
                <w:sz w:val="24"/>
              </w:rPr>
              <w:t>、过程或合同规定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制定</w:t>
            </w:r>
            <w:r>
              <w:rPr>
                <w:rFonts w:hint="eastAsia" w:ascii="宋体" w:hAnsi="宋体"/>
                <w:sz w:val="24"/>
              </w:rPr>
              <w:t>专门的质量措施、资源和活动顺序，以确保满足规定要求，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依据样品</w:t>
            </w:r>
            <w:r>
              <w:rPr>
                <w:rFonts w:hint="eastAsia" w:ascii="宋体" w:hAnsi="宋体"/>
                <w:sz w:val="24"/>
              </w:rPr>
              <w:t>的要求，确定了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样品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加工</w:t>
            </w:r>
            <w:r>
              <w:rPr>
                <w:rFonts w:hint="eastAsia" w:ascii="宋体" w:hAnsi="宋体"/>
                <w:sz w:val="24"/>
              </w:rPr>
              <w:t>工艺流程，关键过程,编制了相关的工艺文件，作业指导书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查看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样品加工工艺流程：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岩矿样品加工流程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粗碎→中碎→缩分→细碎→装袋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环境样品加工流程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理化项目：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风干</w:t>
            </w:r>
            <w:r>
              <w:rPr>
                <w:rFonts w:hint="eastAsia" w:ascii="宋体" w:hAnsi="宋体"/>
                <w:sz w:val="24"/>
                <w:szCs w:val="22"/>
              </w:rPr>
              <w:t>→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研磨</w:t>
            </w:r>
            <w:r>
              <w:rPr>
                <w:rFonts w:hint="eastAsia" w:ascii="宋体" w:hAnsi="宋体"/>
                <w:sz w:val="24"/>
                <w:szCs w:val="22"/>
              </w:rPr>
              <w:t>→过筛→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装瓶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有机项目：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预冷冻→冷冻干燥→研磨→装瓶</w:t>
            </w:r>
          </w:p>
          <w:p>
            <w:pPr>
              <w:pStyle w:val="20"/>
              <w:spacing w:line="340" w:lineRule="exact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样品整改加工过程为关键过程</w:t>
            </w:r>
          </w:p>
          <w:p>
            <w:pPr>
              <w:pStyle w:val="20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加工车间提供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《生产设备台账》主要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设备设施：电热恒温干燥箱，行星球磨机，颚式破碎机，双辊破碎机，圆盘粉碎机， 制样粉碎机，光谱电极车床等等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，设备能力基本满足要求</w:t>
            </w:r>
          </w:p>
          <w:p>
            <w:pPr>
              <w:pStyle w:val="20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查看《2020年度员工培训计划表》，2020年5月25日进行了《加工操作培训》，考试结果均合格</w:t>
            </w:r>
          </w:p>
          <w:p>
            <w:pPr>
              <w:pStyle w:val="20"/>
              <w:spacing w:line="3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质控评价方法：《江西省农用地土壤污染状况详查质量保证与质量控制工作方案》、DZ/T0145-2017《土壤地球化学测量规程》、DZ/T0258-2014《多目标区域地球化学调查规范》、DZ/他1-2015《地球化学普查规范》、DZ/T0130-2006《地质矿产实验室测试质量管理规范》、CNAS-GL02：2014《能力验证结果的统计处理和能力评价指南》</w:t>
            </w:r>
          </w:p>
          <w:p>
            <w:pPr>
              <w:pStyle w:val="20"/>
              <w:spacing w:line="3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707" w:type="dxa"/>
            <w:vAlign w:val="top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产品和服务的要求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Q</w:t>
            </w:r>
            <w:r>
              <w:rPr>
                <w:color w:val="000000"/>
                <w:sz w:val="21"/>
                <w:szCs w:val="21"/>
              </w:rPr>
              <w:t>8.2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top"/>
          </w:tcPr>
          <w:p>
            <w:pPr>
              <w:spacing w:line="280" w:lineRule="exact"/>
              <w:ind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公司编制有产品实现的策划程序《生产和服务管理控制程序》、《设备控制程序》。</w:t>
            </w:r>
          </w:p>
          <w:p>
            <w:pPr>
              <w:spacing w:line="280" w:lineRule="exact"/>
              <w:ind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公司编制的管理手册中规定了与服务有关要求的确定、评审以及更改的职责和工作流程要求。</w:t>
            </w:r>
          </w:p>
          <w:p>
            <w:pPr>
              <w:spacing w:line="280" w:lineRule="exact"/>
              <w:ind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顾客明确规定的要求通过与顾客签订委托检验协议，公司按顾客要求组织服务，并以电话、微信等方式进行沟通、确认，并对样品加工检测要求等给予了明确。</w:t>
            </w:r>
          </w:p>
          <w:p>
            <w:pPr>
              <w:pStyle w:val="20"/>
              <w:spacing w:line="34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质控评价方法：《江西省农用地土壤污染状况详查质量保证与质量控制工作方案》、DZ/T0145-2017《土壤地球化学测量规程》、DZ/T0258-2014《多目标区域地球化学调查规范》、DZ/他1-2015《地球化学普查规范》、DZ/T0130-2006《地质矿产实验室测试质量管理规范》、CNAS-GL02：2014《能力验证结果的统计处理和能力评价指南》</w:t>
            </w:r>
          </w:p>
          <w:p>
            <w:pPr>
              <w:spacing w:line="340" w:lineRule="exac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岩矿样品加工流程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  <w:p>
            <w:pPr>
              <w:spacing w:line="340" w:lineRule="exact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粗碎中碎，调好进口宽度（目前设备已调整好，针对不同的样品，使用指定的设备）；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缩分：四分法缩分；细碎：棒磨至160目以上；装袋：依据检验项目需求进行取样装袋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环境样品加工流程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理化项目：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风干：风干至水分≤3%；研磨过筛：依据检测标准20-200目；装瓶：依据检验项目需求进行取样装瓶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有机项目：</w:t>
            </w:r>
          </w:p>
          <w:p>
            <w:pPr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预冷冻：≤-20℃，4小时左右；冷冻干燥≤-50℃，24-28小时之间；研磨：依据检测标准1mm;装瓶：依据检验项目需求进行取样装瓶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服务提供的控制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8.5.1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pStyle w:val="20"/>
              <w:spacing w:line="3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公司编制有产品实现的策划程序《生产和服务管理控制程序》</w:t>
            </w:r>
          </w:p>
          <w:p>
            <w:pPr>
              <w:pStyle w:val="20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查看《2021年样品登记台账》，</w:t>
            </w:r>
          </w:p>
          <w:p>
            <w:pPr>
              <w:pStyle w:val="20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查2021年1月4号，送检单位：局四队，矿区：石坞矿，样品数量：29，检测项目：Au</w:t>
            </w:r>
          </w:p>
          <w:p>
            <w:pPr>
              <w:pStyle w:val="20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查：2021年1月4号，送检单位：核267大队化验室，矿区：阳储岭，样品数量：56，检测项目：WO3,Mo</w:t>
            </w:r>
          </w:p>
          <w:p>
            <w:pPr>
              <w:pStyle w:val="20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查看委托协议：委托方：新余市环保局，样品名称：土壤，委托日期：2020年5月27日</w:t>
            </w:r>
          </w:p>
          <w:p>
            <w:pPr>
              <w:pStyle w:val="20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查《样品交接检查记录表》，抽样品编号：6386389583628，检验编号：EH012-00224检测项目：Cr</w:t>
            </w:r>
            <w:r>
              <w:rPr>
                <w:rFonts w:hint="eastAsia" w:ascii="宋体" w:hAnsi="宋体"/>
                <w:sz w:val="24"/>
                <w:vertAlign w:val="superscript"/>
                <w:lang w:val="en-US" w:eastAsia="zh-CN"/>
              </w:rPr>
              <w:t>6+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、Hg项，样品数量1瓶，300g/瓶，包装完好、标签完好、冷藏保存、符合检验要求，送样日期：2020.5.27，借样负责人：杨海</w:t>
            </w:r>
          </w:p>
          <w:p>
            <w:pPr>
              <w:pStyle w:val="20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查《样品交接检查记录表》，抽样品编号：5994775366852，检验编号：EH012-00224检测项目：VOC27项，样品数量5瓶，5g/瓶，包装完好、标签完好、冷藏保存、符合检验要求，送样日期：2020.5.27，接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样负责人：杨海</w:t>
            </w:r>
          </w:p>
          <w:p>
            <w:pPr>
              <w:pStyle w:val="20"/>
              <w:spacing w:line="340" w:lineRule="exact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查《样品领用记录》：样品起止分析编号：00224-F2002994，样品数量：17，检验项目：VOC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，领用人：王红丽，2020.6.19；归还日期：2020.6.19</w:t>
            </w:r>
          </w:p>
          <w:p>
            <w:pPr>
              <w:pStyle w:val="20"/>
              <w:spacing w:line="340" w:lineRule="exact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查《样品领用记录》：样品起止分析编号：00224-F2002992，样品数量：25，检验项目：Cr</w:t>
            </w:r>
            <w:r>
              <w:rPr>
                <w:rFonts w:hint="eastAsia" w:ascii="宋体" w:hAnsi="宋体"/>
                <w:sz w:val="24"/>
                <w:vertAlign w:val="superscript"/>
                <w:lang w:val="en-US" w:eastAsia="zh-CN"/>
              </w:rPr>
              <w:t>6+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，领用人：郭圣豪，2020.6.1；</w:t>
            </w:r>
          </w:p>
          <w:p>
            <w:pPr>
              <w:pStyle w:val="20"/>
              <w:spacing w:line="340" w:lineRule="exact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查《土壤制备原始记录》：样品编号：00224，干燥方式：自然风干，研磨方式：手工研磨，原始样品包装容器：玻璃瓶，样品重量：300g，制备完成样品：100目:250g，包装容器：塑料瓶，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检验项目：Cr</w:t>
            </w:r>
            <w:r>
              <w:rPr>
                <w:rFonts w:hint="eastAsia" w:ascii="宋体" w:hAnsi="宋体"/>
                <w:sz w:val="24"/>
                <w:vertAlign w:val="superscript"/>
                <w:lang w:val="en-US" w:eastAsia="zh-CN"/>
              </w:rPr>
              <w:t>6+</w:t>
            </w:r>
          </w:p>
          <w:p>
            <w:pPr>
              <w:pStyle w:val="20"/>
              <w:spacing w:line="3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检测项目：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VOC，样品直接处理检测，无需前处理。</w:t>
            </w:r>
          </w:p>
          <w:p>
            <w:pPr>
              <w:pStyle w:val="20"/>
              <w:spacing w:line="3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pStyle w:val="20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抽查《加工室质量监督员记录表》，查2020年5月25日，监督对象加工人员：梁小梅；监督内容：1、加工人员是否按照要求正确操作设备仪器；2、样品编号是否符合要求，是否有唯一性的状态标识；3、烘箱是否在校准有效期内，温控装置是否有效；4、样品包装是否完好无损；5、缩分记录是否完及时填写；6、加工后样品的粒度是否符合要求，监督结果：合格，质量监督员：邹启兵，技术负责人：王全琼</w:t>
            </w:r>
          </w:p>
          <w:p>
            <w:pPr>
              <w:pStyle w:val="20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另抽查：2020年12月28日对罗民华进行监督考核；2020年12月9号对陈国华进行监督考核；考核结果均合格</w:t>
            </w:r>
          </w:p>
          <w:p>
            <w:pPr>
              <w:pStyle w:val="20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查看：《加工质量监控评价表》</w:t>
            </w:r>
          </w:p>
          <w:p>
            <w:pPr>
              <w:pStyle w:val="20"/>
              <w:spacing w:line="3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1、内验批次：220H140；基本分析批次：220H126；样品数量：30个；合格率：100%；评价人：戴绪丁</w:t>
            </w:r>
          </w:p>
          <w:p>
            <w:pPr>
              <w:pStyle w:val="20"/>
              <w:spacing w:line="3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2、内验批次：220WH299；基本分析批次：220WH277；样品数量：42个；合格率：100%；评价人：戴绪丁</w:t>
            </w:r>
          </w:p>
          <w:p>
            <w:pPr>
              <w:pStyle w:val="20"/>
              <w:spacing w:line="3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3、内验批次：220WH307；基本分析批次：220WH268；样品数量：46个；合格率：95.7%；评价人：戴绪丁</w:t>
            </w:r>
          </w:p>
          <w:p>
            <w:pPr>
              <w:pStyle w:val="20"/>
              <w:spacing w:line="3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4、内验批次：220WH252；基本分析批次：220WH160；样品数量：24个；合格率：91.7%；评价人：戴绪丁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标识和可追溯性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8.5.2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top"/>
          </w:tcPr>
          <w:p>
            <w:pPr>
              <w:spacing w:line="280" w:lineRule="exact"/>
              <w:ind w:firstLine="420" w:firstLineChars="200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在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样品收发室确定样品批次和检测编号，明确检验项目。样品加工、样品流转、样品检测都依据样品批次和检测编号进行追溯，相关人员填写相应得记录表单：《样品领用记录》《样品流转记录》等等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经现场查验标识齐全、清晰、正确，产品标识管理基本符合标准要求，并满足实际需要。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Q8.5.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223" w:type="dxa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组织对产品搬运、包装、贮存以及交付等过程的防护实施控制：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1、搬运：搬运人员按要求执行，做好产品防护，防止丢失和损坏。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2、包装：包装人员核对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样品检验编号和检测项目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，保持产品外观清洁、完整，包装后进行正确标识。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3、贮存：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依据检测项目要求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，保持安全适宜的贮存环境。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流转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依据检验要求，领用指定样品，签订流转登记表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公司自体系运行以来，未发生由于产品防护不当导致产品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检测不合格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事故的情况，防护措施能够满足要求。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现场产品防护能够按照策划的要求实施，满足策划的要求。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交付后活动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Q8.5.5</w:t>
            </w:r>
          </w:p>
        </w:tc>
        <w:tc>
          <w:tcPr>
            <w:tcW w:w="11223" w:type="dxa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与部门负责人沟通了解到组织主要通过与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样品加工人员和样品检测人员签写样品流转单，确保客户样品准确进行加工处理，及时准确进行检测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基本满足要求。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环境因素、危险源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6.1.2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查有：《环境因素和危险源识别评价与控制程序》。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查《环境因素识别与评价表》，识别考虑了正常、异常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针对过去、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现在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将来三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种时态，考虑了供方、客户等可施加影响的环境因素。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涉及本部门的环境因素有办公活动中生活垃圾排放、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样品加工过程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固废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和粉尘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排放、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样品研磨过程产生得噪音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排放、火灾事故发生等。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查《重要环境因素清单》，评价出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噪声、粉尘3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项重要环境因素。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控制措施：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佩戴防尘口罩，耳塞等劳保用品、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固废分类存放、办公危废交耗材供应公司，垃圾由环卫部门拉走，包装物分类卖掉，日常检查，日常培训教育，消防配备消防器材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应急演练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查《危险源辨识与风险评价表》，识别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样品加工等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活动过程中的危险源。包括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样品加工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过程中的设备使用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设备、电力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使用等使用不当导致人身伤害、外来人员安全措施不当造成的火灾和人身伤害，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交通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事故等。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涉及本部门的危险源有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加工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活动过程中机械噪声、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劳保用品使用不当导致得尘肺病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、线路老化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导致火灾或触电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，外来人员安全措施不当造成的火灾和人身伤害等。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查《不可接受风险清单》，评价出重大危险源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个，包括：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火灾、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职业病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伤害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制订了相应的管理方案并已实施。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1" w:hRule="atLeast"/>
        </w:trPr>
        <w:tc>
          <w:tcPr>
            <w:tcW w:w="1707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运行控制</w:t>
            </w:r>
          </w:p>
        </w:tc>
        <w:tc>
          <w:tcPr>
            <w:tcW w:w="1019" w:type="dxa"/>
            <w:vAlign w:val="top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E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O</w:t>
            </w:r>
            <w:r>
              <w:rPr>
                <w:rFonts w:hint="eastAsia"/>
                <w:color w:val="000000"/>
                <w:sz w:val="21"/>
                <w:szCs w:val="21"/>
              </w:rPr>
              <w:t>8.1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本部门应执行的运行控制文件包括：固体废弃物控制程序</w:t>
            </w:r>
            <w:r>
              <w:rPr>
                <w:rFonts w:hint="eastAsia"/>
                <w:lang w:val="en-GB"/>
              </w:rPr>
              <w:t>、环境和职业健康安全应急准备与响应程序、环境监视与测量程序、职业健康安全的监视和测量程序</w:t>
            </w:r>
            <w:r>
              <w:rPr>
                <w:rFonts w:hint="eastAsia"/>
              </w:rPr>
              <w:t>、环境不符合控制程序、职业健康安全不符合控制程序等</w:t>
            </w:r>
          </w:p>
          <w:p>
            <w:r>
              <w:rPr>
                <w:rFonts w:hint="eastAsia"/>
              </w:rPr>
              <w:t>运行控制情况：</w:t>
            </w:r>
          </w:p>
          <w:p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样品加工</w:t>
            </w:r>
            <w:r>
              <w:rPr>
                <w:rFonts w:hint="eastAsia"/>
              </w:rPr>
              <w:t>区域：生活污水：接入</w:t>
            </w:r>
            <w:r>
              <w:rPr>
                <w:rFonts w:hint="eastAsia"/>
                <w:lang w:val="en-US" w:eastAsia="zh-CN"/>
              </w:rPr>
              <w:t>南昌</w:t>
            </w:r>
            <w:r>
              <w:rPr>
                <w:rFonts w:hint="eastAsia"/>
              </w:rPr>
              <w:t>市城市污水管统一处理。</w:t>
            </w:r>
          </w:p>
          <w:p>
            <w:r>
              <w:rPr>
                <w:rFonts w:hint="eastAsia"/>
              </w:rPr>
              <w:t>2.噪声：</w:t>
            </w:r>
            <w:r>
              <w:rPr>
                <w:rFonts w:hint="eastAsia"/>
                <w:lang w:val="en-US" w:eastAsia="zh-CN"/>
              </w:rPr>
              <w:t>样品粉碎产生噪音，加工人员佩戴耳塞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3.固废：</w:t>
            </w:r>
            <w:r>
              <w:rPr>
                <w:rFonts w:hint="eastAsia"/>
                <w:lang w:val="en-US" w:eastAsia="zh-CN"/>
              </w:rPr>
              <w:t>加工过程残余得样品碎渣</w:t>
            </w:r>
            <w:r>
              <w:rPr>
                <w:rFonts w:hint="eastAsia"/>
              </w:rPr>
              <w:t>，集中处置。</w:t>
            </w:r>
          </w:p>
          <w:p>
            <w:r>
              <w:rPr>
                <w:rFonts w:hint="eastAsia"/>
              </w:rPr>
              <w:t>4.现场查看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区域，整洁、光线充足、室内空气良好、配置有</w:t>
            </w:r>
            <w:r>
              <w:rPr>
                <w:rFonts w:hint="eastAsia"/>
                <w:lang w:val="en-US" w:eastAsia="zh-CN"/>
              </w:rPr>
              <w:t>风扇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设备安全状态良好，教育员工正确使用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设备，现场用电基本规范，无乱拉线现象，防止火灾发生。</w:t>
            </w:r>
          </w:p>
          <w:p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过程注意节约用电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用水，</w:t>
            </w:r>
            <w:r>
              <w:rPr>
                <w:rFonts w:hint="eastAsia"/>
              </w:rPr>
              <w:t>做到人走灯灭，</w:t>
            </w:r>
            <w:r>
              <w:rPr>
                <w:rFonts w:hint="eastAsia"/>
                <w:lang w:val="en-US" w:eastAsia="zh-CN"/>
              </w:rPr>
              <w:t>预防滴漏</w:t>
            </w:r>
            <w:r>
              <w:rPr>
                <w:rFonts w:hint="eastAsia"/>
              </w:rPr>
              <w:t>，下班前要关闭电源，防止触电。</w:t>
            </w:r>
          </w:p>
          <w:p>
            <w:r>
              <w:rPr>
                <w:rFonts w:hint="eastAsia"/>
              </w:rPr>
              <w:t>6.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区域禁止吸烟，现场查看无安全隐患，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区域配备有效的干粉灭火器。</w:t>
            </w:r>
          </w:p>
          <w:p>
            <w:r>
              <w:rPr>
                <w:rFonts w:hint="eastAsia"/>
              </w:rPr>
              <w:t>7.工作时间平均每天不超过</w:t>
            </w:r>
            <w:r>
              <w:t>8</w:t>
            </w:r>
            <w:r>
              <w:rPr>
                <w:rFonts w:hint="eastAsia"/>
              </w:rPr>
              <w:t>小时。</w:t>
            </w:r>
          </w:p>
          <w:p>
            <w:r>
              <w:rPr>
                <w:rFonts w:hint="eastAsia"/>
              </w:rPr>
              <w:t>8.现场查看</w:t>
            </w:r>
            <w:r>
              <w:rPr>
                <w:rFonts w:hint="eastAsia"/>
                <w:lang w:val="en-US" w:eastAsia="zh-CN"/>
              </w:rPr>
              <w:t>样品加工</w:t>
            </w:r>
            <w:r>
              <w:rPr>
                <w:rFonts w:hint="eastAsia"/>
              </w:rPr>
              <w:t>区域配备符合要求的消防设施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t>9</w:t>
            </w:r>
            <w:r>
              <w:rPr>
                <w:rFonts w:hint="eastAsia"/>
              </w:rPr>
              <w:t>、相关方施加影响：公司能够控制或能够施加影响的相关方有顾客等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禁止无关人员进入加工场地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提供公司人员20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月社保清单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企业定岗人员共49人左右</w:t>
            </w:r>
          </w:p>
          <w:p>
            <w:r>
              <w:rPr>
                <w:rFonts w:hint="eastAsia"/>
              </w:rPr>
              <w:t>公司制定了安全生产责任属，制定了安全目标考核制定</w:t>
            </w:r>
            <w:r>
              <w:t>.</w:t>
            </w:r>
          </w:p>
          <w:p>
            <w:r>
              <w:rPr>
                <w:rFonts w:hint="eastAsia"/>
              </w:rPr>
              <w:t>提供员工体检清单</w:t>
            </w:r>
          </w:p>
          <w:p>
            <w:r>
              <w:rPr>
                <w:rFonts w:hint="eastAsia"/>
              </w:rPr>
              <w:t>提供员工个人劳保用品发放记录。</w:t>
            </w: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运行控制基本满足要求。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cs="Arial"/>
                <w:color w:val="FF0000"/>
                <w:sz w:val="21"/>
                <w:szCs w:val="21"/>
                <w:lang w:val="en-US" w:eastAsia="zh-CN"/>
              </w:rPr>
              <w:t>现场查看生产加工人员未佩戴防尘口罩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应急准备和响应</w:t>
            </w:r>
          </w:p>
        </w:tc>
        <w:tc>
          <w:tcPr>
            <w:tcW w:w="10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E/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O</w:t>
            </w:r>
            <w:r>
              <w:rPr>
                <w:rFonts w:hint="eastAsia" w:ascii="宋体" w:hAnsi="宋体" w:cs="宋体"/>
                <w:sz w:val="21"/>
                <w:szCs w:val="21"/>
              </w:rPr>
              <w:t>：8.2</w:t>
            </w:r>
          </w:p>
        </w:tc>
        <w:tc>
          <w:tcPr>
            <w:tcW w:w="11223" w:type="dxa"/>
            <w:vAlign w:val="top"/>
          </w:tcPr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负责人介绍，公司制定《应急准备和响应控制程序》、《应急救援预案》等，包括：火灾、爆炸应急预案、生产车间中毒、梅雨、雷电等恶劣天气应急预案、机械伤害应急预案等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见：《消防应急演练记录》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演练时间 ：2020年6月27日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演练地点：公司篮球场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演练部门：全体部门和员工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演练总指挥：戴绪丁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参加人员各部门部长。过程记录详细。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演练中不但讲解了火灾发生后的处理流程，包括汇报机制，通知医院，疏导交通保证救援通道畅通，实施抢救等，并在演练结束后进行了总结，应急预案有可操作性，应急人员基本掌握该方案，能够应对突发事件。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基本符合。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pStyle w:val="7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pStyle w:val="7"/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O</w:t>
                </w:r>
                <w:r>
                  <w:rPr>
                    <w:rFonts w:hint="eastAsia"/>
                    <w:sz w:val="18"/>
                    <w:szCs w:val="18"/>
                  </w:rPr>
                  <w:t>C-B-I-19 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</w:rPr>
      <w:t xml:space="preserve">        </w:t>
    </w:r>
    <w:r>
      <w:rPr>
        <w:rStyle w:val="16"/>
        <w:rFonts w:hint="default"/>
        <w:w w:val="90"/>
      </w:rPr>
      <w:t xml:space="preserve">Beijing International </w:t>
    </w:r>
    <w:r>
      <w:rPr>
        <w:rStyle w:val="16"/>
        <w:rFonts w:hint="eastAsia"/>
        <w:w w:val="90"/>
      </w:rPr>
      <w:t>O</w:t>
    </w:r>
    <w:r>
      <w:rPr>
        <w:rStyle w:val="16"/>
        <w:rFonts w:hint="default"/>
        <w:w w:val="90"/>
      </w:rPr>
      <w:t>tandard united Certification Co.,Ltd.</w:t>
    </w:r>
    <w:r>
      <w:rPr>
        <w:rStyle w:val="16"/>
        <w:rFonts w:hint="default"/>
        <w:w w:val="90"/>
        <w:szCs w:val="21"/>
      </w:rPr>
      <w:t xml:space="preserve">  </w:t>
    </w:r>
    <w:r>
      <w:rPr>
        <w:rStyle w:val="16"/>
        <w:rFonts w:hint="default"/>
        <w:w w:val="90"/>
        <w:sz w:val="20"/>
      </w:rPr>
      <w:t xml:space="preserve"> </w:t>
    </w:r>
    <w:r>
      <w:rPr>
        <w:rStyle w:val="16"/>
        <w:rFonts w:hint="default"/>
        <w:w w:val="90"/>
      </w:rPr>
      <w:t xml:space="preserve">                   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1A2D7F"/>
    <w:rsid w:val="00337922"/>
    <w:rsid w:val="00340867"/>
    <w:rsid w:val="00380837"/>
    <w:rsid w:val="003A198A"/>
    <w:rsid w:val="00410914"/>
    <w:rsid w:val="00536930"/>
    <w:rsid w:val="00564E53"/>
    <w:rsid w:val="00644FE2"/>
    <w:rsid w:val="0067640C"/>
    <w:rsid w:val="006E678B"/>
    <w:rsid w:val="007757F3"/>
    <w:rsid w:val="007E6AEB"/>
    <w:rsid w:val="008973EE"/>
    <w:rsid w:val="00971600"/>
    <w:rsid w:val="009973B4"/>
    <w:rsid w:val="009C28C1"/>
    <w:rsid w:val="009F7EED"/>
    <w:rsid w:val="00AF0AAB"/>
    <w:rsid w:val="00BF597E"/>
    <w:rsid w:val="00C51A36"/>
    <w:rsid w:val="00C55228"/>
    <w:rsid w:val="00CE315A"/>
    <w:rsid w:val="00D06F59"/>
    <w:rsid w:val="00D8388C"/>
    <w:rsid w:val="00EB0164"/>
    <w:rsid w:val="00ED0F62"/>
    <w:rsid w:val="01715FF0"/>
    <w:rsid w:val="0320505F"/>
    <w:rsid w:val="0378379C"/>
    <w:rsid w:val="04510B7D"/>
    <w:rsid w:val="079E15F2"/>
    <w:rsid w:val="08E60B71"/>
    <w:rsid w:val="0A8D103E"/>
    <w:rsid w:val="0ACE1CBC"/>
    <w:rsid w:val="0B5F07F0"/>
    <w:rsid w:val="0C1869EC"/>
    <w:rsid w:val="0C294383"/>
    <w:rsid w:val="0D9E0994"/>
    <w:rsid w:val="0E063427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742241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3BC2B2D"/>
    <w:rsid w:val="24AD4883"/>
    <w:rsid w:val="25390A68"/>
    <w:rsid w:val="26B207F6"/>
    <w:rsid w:val="274E61F5"/>
    <w:rsid w:val="2767752B"/>
    <w:rsid w:val="27B61173"/>
    <w:rsid w:val="27DF7CD6"/>
    <w:rsid w:val="2C703113"/>
    <w:rsid w:val="2CF30AC4"/>
    <w:rsid w:val="2D9327E0"/>
    <w:rsid w:val="2E00760C"/>
    <w:rsid w:val="2EE93C61"/>
    <w:rsid w:val="2FE57D8B"/>
    <w:rsid w:val="2FEB299B"/>
    <w:rsid w:val="32691255"/>
    <w:rsid w:val="32C11AD5"/>
    <w:rsid w:val="33861652"/>
    <w:rsid w:val="34041CDB"/>
    <w:rsid w:val="3438524B"/>
    <w:rsid w:val="347A7706"/>
    <w:rsid w:val="34B32935"/>
    <w:rsid w:val="375F34D7"/>
    <w:rsid w:val="38894ECB"/>
    <w:rsid w:val="38F61C56"/>
    <w:rsid w:val="3AD826FA"/>
    <w:rsid w:val="3D744581"/>
    <w:rsid w:val="3DAD6D4F"/>
    <w:rsid w:val="40285D69"/>
    <w:rsid w:val="41842DAE"/>
    <w:rsid w:val="436F2755"/>
    <w:rsid w:val="458C1191"/>
    <w:rsid w:val="466F33FE"/>
    <w:rsid w:val="48800E04"/>
    <w:rsid w:val="489C542B"/>
    <w:rsid w:val="494C5676"/>
    <w:rsid w:val="4ABE4B71"/>
    <w:rsid w:val="4B723AB9"/>
    <w:rsid w:val="4BCE3348"/>
    <w:rsid w:val="4C116CD0"/>
    <w:rsid w:val="4D4E681E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200E48"/>
    <w:rsid w:val="5EA12B9A"/>
    <w:rsid w:val="5EC96705"/>
    <w:rsid w:val="5ED74E33"/>
    <w:rsid w:val="61561089"/>
    <w:rsid w:val="63E248DD"/>
    <w:rsid w:val="65B35620"/>
    <w:rsid w:val="65B47E80"/>
    <w:rsid w:val="661149EF"/>
    <w:rsid w:val="6612664F"/>
    <w:rsid w:val="66B7462A"/>
    <w:rsid w:val="68EE481F"/>
    <w:rsid w:val="695E025E"/>
    <w:rsid w:val="6A23146B"/>
    <w:rsid w:val="6AAB450E"/>
    <w:rsid w:val="6ADF4005"/>
    <w:rsid w:val="6D53402F"/>
    <w:rsid w:val="6F974183"/>
    <w:rsid w:val="6FF60E19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AE70756"/>
    <w:rsid w:val="7B5C61FD"/>
    <w:rsid w:val="7C4566E1"/>
    <w:rsid w:val="7CE9234D"/>
    <w:rsid w:val="7E331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sz w:val="36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5">
    <w:name w:val="Plain Text"/>
    <w:basedOn w:val="1"/>
    <w:unhideWhenUsed/>
    <w:qFormat/>
    <w:uiPriority w:val="0"/>
    <w:rPr>
      <w:rFonts w:ascii="宋体" w:hAnsi="Courier New"/>
      <w:sz w:val="21"/>
    </w:r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东方正文"/>
    <w:basedOn w:val="1"/>
    <w:qFormat/>
    <w:uiPriority w:val="0"/>
    <w:pPr>
      <w:spacing w:line="400" w:lineRule="exact"/>
      <w:ind w:left="284" w:right="284"/>
    </w:pPr>
  </w:style>
  <w:style w:type="paragraph" w:styleId="20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2021-01-25T08:23:09Z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