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w:t>
            </w:r>
            <w:r>
              <w:rPr>
                <w:rFonts w:hint="eastAsia"/>
                <w:sz w:val="24"/>
                <w:szCs w:val="24"/>
                <w:lang w:val="en-US" w:eastAsia="zh-CN"/>
              </w:rPr>
              <w:t>行政</w:t>
            </w:r>
            <w:r>
              <w:rPr>
                <w:rFonts w:hint="eastAsia"/>
                <w:sz w:val="24"/>
                <w:szCs w:val="24"/>
                <w:lang w:eastAsia="zh-CN"/>
              </w:rPr>
              <w:t>部</w:t>
            </w:r>
            <w:r>
              <w:rPr>
                <w:rFonts w:hint="eastAsia"/>
                <w:sz w:val="24"/>
                <w:szCs w:val="24"/>
              </w:rPr>
              <w:t xml:space="preserve"> </w:t>
            </w:r>
            <w:r>
              <w:rPr>
                <w:sz w:val="24"/>
                <w:szCs w:val="24"/>
              </w:rPr>
              <w:t xml:space="preserve">  </w:t>
            </w:r>
            <w:r>
              <w:rPr>
                <w:rFonts w:hint="eastAsia"/>
                <w:sz w:val="24"/>
                <w:szCs w:val="24"/>
              </w:rPr>
              <w:t xml:space="preserve">主管领导：李苏燕 </w:t>
            </w:r>
            <w:r>
              <w:rPr>
                <w:sz w:val="24"/>
                <w:szCs w:val="24"/>
              </w:rPr>
              <w:t xml:space="preserve">  </w:t>
            </w:r>
            <w:r>
              <w:rPr>
                <w:rFonts w:hint="eastAsia"/>
                <w:sz w:val="24"/>
                <w:szCs w:val="24"/>
              </w:rPr>
              <w:t>陪同人员：魏少丹</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李俐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18</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cs="Arial"/>
                <w:color w:val="auto"/>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6.1、6.2、9.1.1、9.2、10.2</w:t>
            </w:r>
          </w:p>
          <w:p>
            <w:pPr>
              <w:adjustRightInd w:val="0"/>
              <w:snapToGrid w:val="0"/>
              <w:spacing w:line="360" w:lineRule="auto"/>
              <w:ind w:right="105"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Theme="minorEastAsia" w:hAnsiTheme="minorEastAsia" w:eastAsiaTheme="minorEastAsia" w:cstheme="minorEastAsia"/>
                <w:b w:val="0"/>
                <w:bCs w:val="0"/>
                <w:color w:val="auto"/>
                <w:sz w:val="21"/>
                <w:szCs w:val="21"/>
                <w:lang w:val="en-US" w:eastAsia="zh-CN"/>
              </w:rPr>
              <w:t>8.1、8.2、9.1.1、9.1.2</w:t>
            </w:r>
          </w:p>
          <w:p>
            <w:pPr>
              <w:adjustRightInd w:val="0"/>
              <w:snapToGrid w:val="0"/>
              <w:spacing w:line="360" w:lineRule="auto"/>
              <w:ind w:right="105" w:rightChars="50"/>
              <w:textAlignment w:val="baseline"/>
              <w:rPr>
                <w:sz w:val="24"/>
                <w:szCs w:val="24"/>
              </w:rPr>
            </w:pPr>
            <w:r>
              <w:rPr>
                <w:rFonts w:hint="eastAsia" w:asciiTheme="minorEastAsia" w:hAnsiTheme="minorEastAsia" w:eastAsiaTheme="minorEastAsia" w:cstheme="minorEastAsia"/>
                <w:b w:val="0"/>
                <w:bCs w:val="0"/>
                <w:color w:val="auto"/>
                <w:sz w:val="21"/>
                <w:szCs w:val="21"/>
                <w:lang w:val="en-US" w:eastAsia="zh-CN"/>
              </w:rPr>
              <w:t xml:space="preserve">           O：6.1.2、6.1.3、6.1.4、6.2.1、6.2.2</w:t>
            </w:r>
            <w:bookmarkStart w:id="0" w:name="_GoBack"/>
            <w:bookmarkEnd w:id="0"/>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按照公司领导要求，做好公司职能和岗位的具体确定，对从事建筑机电安装工程、电子与智能化工程、防雷工程的施工、通信工程施工、仪器仪表，电子产品（建筑智能化系统工程产品）、机电产品（机电设备安装工程产品）的销售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负责人：李苏燕。在手册中确定了</w:t>
            </w:r>
            <w:r>
              <w:rPr>
                <w:rFonts w:hint="eastAsia" w:ascii="宋体" w:hAnsi="宋体" w:cs="宋体"/>
                <w:szCs w:val="21"/>
                <w:lang w:eastAsia="zh-CN"/>
              </w:rPr>
              <w:t>行政部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行政部</w:t>
            </w:r>
            <w:r>
              <w:rPr>
                <w:rFonts w:hint="eastAsia" w:ascii="宋体" w:hAnsi="宋体" w:cs="宋体"/>
                <w:szCs w:val="21"/>
              </w:rPr>
              <w:t>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pPr>
            <w:r>
              <w:rPr>
                <w:rFonts w:hint="eastAsia"/>
              </w:rPr>
              <w:t>应对风险和机遇的措施</w:t>
            </w:r>
          </w:p>
          <w:p>
            <w:pPr>
              <w:spacing w:line="360" w:lineRule="auto"/>
              <w:rPr>
                <w:rFonts w:ascii="Times New Roman" w:hAnsi="Times New Roman" w:eastAsia="宋体" w:cs="Times New Roman"/>
                <w:kern w:val="2"/>
                <w:sz w:val="21"/>
                <w:lang w:val="en-US" w:eastAsia="zh-CN" w:bidi="ar-SA"/>
              </w:rPr>
            </w:pPr>
          </w:p>
        </w:tc>
        <w:tc>
          <w:tcPr>
            <w:tcW w:w="998" w:type="dxa"/>
            <w:vAlign w:val="top"/>
          </w:tcPr>
          <w:p>
            <w:pPr>
              <w:spacing w:line="360" w:lineRule="auto"/>
            </w:pPr>
            <w:r>
              <w:rPr>
                <w:rFonts w:hint="eastAsia"/>
              </w:rPr>
              <w:t>Q6.1</w:t>
            </w:r>
          </w:p>
          <w:p>
            <w:pPr>
              <w:spacing w:line="360" w:lineRule="auto"/>
            </w:pPr>
            <w:r>
              <w:t>E6.1.1</w:t>
            </w:r>
          </w:p>
          <w:p>
            <w:pPr>
              <w:spacing w:line="360" w:lineRule="auto"/>
            </w:pPr>
            <w:r>
              <w:t>O6.1.1</w:t>
            </w:r>
          </w:p>
          <w:p>
            <w:pPr>
              <w:spacing w:line="360" w:lineRule="auto"/>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1.质量风险与机遇：直接产品质量风险与机遇、间接产品质量风险与机遇。</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360" w:lineRule="auto"/>
              <w:ind w:firstLine="420" w:firstLineChars="200"/>
              <w:rPr>
                <w:rFonts w:ascii="宋体" w:hAnsi="宋体" w:cs="宋体"/>
                <w:szCs w:val="21"/>
              </w:rPr>
            </w:pPr>
            <w:r>
              <w:rPr>
                <w:rFonts w:hint="eastAsia" w:ascii="宋体" w:hAnsi="宋体" w:cs="宋体"/>
                <w:szCs w:val="21"/>
              </w:rPr>
              <w:t>3.经营风险与机遇：主要有员工、设备、供销链、技术、管理、产品、法律、专利及产权。</w:t>
            </w:r>
          </w:p>
          <w:p>
            <w:pPr>
              <w:spacing w:line="360" w:lineRule="auto"/>
              <w:ind w:firstLine="420" w:firstLineChars="200"/>
              <w:rPr>
                <w:rFonts w:ascii="宋体" w:hAnsi="宋体" w:cs="宋体"/>
                <w:szCs w:val="21"/>
              </w:rPr>
            </w:pPr>
            <w:r>
              <w:rPr>
                <w:rFonts w:hint="eastAsia" w:ascii="宋体" w:hAnsi="宋体" w:cs="宋体"/>
                <w:szCs w:val="21"/>
              </w:rPr>
              <w:t>4.市场风险与机遇：包括市场容量、竞争力、价格、促销。</w:t>
            </w:r>
          </w:p>
          <w:p>
            <w:pPr>
              <w:spacing w:line="360" w:lineRule="auto"/>
              <w:ind w:firstLine="420" w:firstLineChars="200"/>
              <w:rPr>
                <w:rFonts w:ascii="宋体" w:hAnsi="宋体" w:cs="宋体"/>
                <w:szCs w:val="21"/>
              </w:rPr>
            </w:pPr>
            <w:r>
              <w:rPr>
                <w:rFonts w:hint="eastAsia" w:ascii="宋体" w:hAnsi="宋体" w:cs="宋体"/>
                <w:szCs w:val="21"/>
              </w:rPr>
              <w:t>5.财务风险与机遇：有融资/筹资、资金偿还、资金使用、资金回收、效益分配。</w:t>
            </w:r>
          </w:p>
          <w:p>
            <w:pPr>
              <w:spacing w:line="360" w:lineRule="auto"/>
              <w:ind w:firstLine="420" w:firstLineChars="200"/>
              <w:rPr>
                <w:rFonts w:hint="eastAsia" w:ascii="宋体" w:hAnsi="宋体" w:eastAsia="宋体" w:cs="宋体"/>
                <w:kern w:val="2"/>
                <w:sz w:val="21"/>
                <w:szCs w:val="21"/>
                <w:lang w:val="en-US" w:eastAsia="zh-CN" w:bidi="ar-SA"/>
              </w:rPr>
            </w:pPr>
            <w:r>
              <w:rPr>
                <w:rFonts w:ascii="宋体" w:hAnsi="宋体" w:cs="宋体"/>
                <w:szCs w:val="21"/>
              </w:rPr>
              <w:t>6</w:t>
            </w:r>
            <w:r>
              <w:rPr>
                <w:rFonts w:hint="eastAsia" w:ascii="宋体" w:hAnsi="宋体" w:cs="宋体"/>
                <w:szCs w:val="21"/>
              </w:rPr>
              <w:t>.在策划管理体系时考虑了风险和机遇以及相应的应对措施，制定了《风险和机遇分析、评价和应对措施的确定程序》，明确风险和机遇事件的识别方法/途径、风险和机遇事件的评估方式，制定了《企业风险和机遇应对策划表》识别主要风险和机遇事件、应对措施的要求、评价措施有效性等。在管理体系所确定的过程（生产</w:t>
            </w:r>
            <w:r>
              <w:rPr>
                <w:rFonts w:hint="eastAsia" w:ascii="宋体" w:hAnsi="宋体" w:cs="宋体"/>
                <w:szCs w:val="21"/>
                <w:lang w:val="en-US" w:eastAsia="zh-CN"/>
              </w:rPr>
              <w:t>服务</w:t>
            </w:r>
            <w:r>
              <w:rPr>
                <w:rFonts w:hint="eastAsia" w:ascii="宋体" w:hAnsi="宋体" w:cs="宋体"/>
                <w:szCs w:val="21"/>
              </w:rPr>
              <w:t>、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危险源辨识、风险评估及控制措施</w:t>
            </w:r>
          </w:p>
        </w:tc>
        <w:tc>
          <w:tcPr>
            <w:tcW w:w="998" w:type="dxa"/>
            <w:vAlign w:val="top"/>
          </w:tcPr>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O:6.1.2/6.1.4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提供《危险源辨识与风险评价》，识别了办公区、市场部、</w:t>
            </w:r>
            <w:r>
              <w:rPr>
                <w:rFonts w:hint="eastAsia" w:ascii="宋体" w:hAnsi="宋体" w:cs="宋体"/>
                <w:szCs w:val="21"/>
              </w:rPr>
              <w:t>建筑机电安装工程、电子与智能化工程、防雷工程的施工、通信工程施工、仪器仪表，电子产品（建筑智能化系统工程产品）、机电产品（机电设备安装工程产品）的销售过程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杆上物体掉落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砸伤</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电动工具漏电电击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走线架固定不牢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摔伤</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铁塔、楼顶作业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5"/>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见《不可接受危险源清单》，高处坠落、触电、火灾伤害、机械伤害。</w:t>
            </w:r>
          </w:p>
          <w:p>
            <w:pPr>
              <w:pStyle w:val="15"/>
              <w:rPr>
                <w:rFonts w:ascii="宋体" w:hAnsi="宋体" w:cs="宋体"/>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以上重要危险因素清单中制定了针对性控制措施，措施基本有效。</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40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98" w:type="dxa"/>
            <w:vAlign w:val="top"/>
          </w:tcPr>
          <w:p>
            <w:pPr>
              <w:spacing w:line="40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40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400" w:lineRule="exact"/>
              <w:jc w:val="left"/>
              <w:rPr>
                <w:rFonts w:hint="eastAsia" w:asciiTheme="minorEastAsia" w:hAnsiTheme="minorEastAsia" w:eastAsiaTheme="minorEastAsia" w:cstheme="minorEastAsia"/>
                <w:color w:val="auto"/>
                <w:sz w:val="21"/>
                <w:szCs w:val="21"/>
                <w:highlight w:val="none"/>
                <w:lang w:val="en-US" w:eastAsia="zh-CN"/>
              </w:rPr>
            </w:pPr>
          </w:p>
        </w:tc>
        <w:tc>
          <w:tcPr>
            <w:tcW w:w="10004" w:type="dxa"/>
            <w:vAlign w:val="top"/>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有法律法规及其他要求控制程序、合规性评价控制程序 </w:t>
            </w:r>
            <w:r>
              <w:rPr>
                <w:rFonts w:hint="eastAsia" w:asciiTheme="minorEastAsia" w:hAnsiTheme="minorEastAsia" w:eastAsiaTheme="minorEastAsia" w:cstheme="minorEastAsia"/>
                <w:color w:val="auto"/>
                <w:sz w:val="21"/>
                <w:szCs w:val="21"/>
                <w:highlight w:val="none"/>
                <w:lang w:val="en-US" w:eastAsia="zh-CN"/>
              </w:rPr>
              <w:t>等，</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法律法规和其他要求一览表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合规性评价表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评审时间</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2020年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月30日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评审地点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公司会议室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记录人</w:t>
            </w:r>
            <w:r>
              <w:rPr>
                <w:rFonts w:hint="eastAsia" w:asciiTheme="minorEastAsia" w:hAnsiTheme="minorEastAsia" w:eastAsiaTheme="minorEastAsia" w:cstheme="minorEastAsia"/>
                <w:color w:val="auto"/>
                <w:sz w:val="21"/>
                <w:szCs w:val="21"/>
                <w:highlight w:val="none"/>
                <w:lang w:eastAsia="zh-CN"/>
              </w:rPr>
              <w:t>李苏燕，</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总经理：周东福</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行政部/管代：李苏燕</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市场部：孟宏涛</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行政部：魏少丹  文员</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工程部：武晓伟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工程部/安全事务代表：焦兴武</w:t>
            </w:r>
            <w:r>
              <w:rPr>
                <w:rFonts w:hint="eastAsia" w:asciiTheme="minorEastAsia" w:hAnsiTheme="minorEastAsia" w:eastAsiaTheme="minorEastAsia" w:cstheme="minorEastAsia"/>
                <w:color w:val="auto"/>
                <w:sz w:val="21"/>
                <w:szCs w:val="21"/>
                <w:highlight w:val="none"/>
                <w:lang w:val="en-US" w:eastAsia="zh-CN"/>
              </w:rPr>
              <w:t>，抽查如下：</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华人民共和国消防法》、陕西省消防条例、陕西省安全生产条例、陕西省重大危险源监督管理规定、危险化学品安全管理条例、污水综合排放标准、处置场污染控制标准、危险废物转移联单管理办法、陕西省实施《中华人民共和国环境影响评价法》办法、陕西省节约用水办法、国家突发环境事件应急预案、环境空气质量标准、陕西省化学危险品安全管理规定（试行）、突发环境事件应急预案编制导则等，控制措施及现状：已制定安全防火制度及应急预案。配备消防器材。重点场所标识禁火。定期巡查，消除隐患。每年进行至少一次消防演练。</w:t>
            </w:r>
          </w:p>
          <w:p>
            <w:pPr>
              <w:rPr>
                <w:rFonts w:ascii="宋体" w:hAnsi="宋体" w:cs="宋体"/>
                <w:szCs w:val="21"/>
              </w:rPr>
            </w:pPr>
            <w:r>
              <w:rPr>
                <w:rFonts w:hint="eastAsia" w:asciiTheme="minorEastAsia" w:hAnsiTheme="minorEastAsia" w:eastAsiaTheme="minorEastAsia" w:cstheme="minorEastAsia"/>
                <w:color w:val="auto"/>
                <w:sz w:val="21"/>
                <w:szCs w:val="21"/>
                <w:highlight w:val="none"/>
              </w:rPr>
              <w:t>结果：</w:t>
            </w:r>
            <w:r>
              <w:rPr>
                <w:rFonts w:hint="eastAsia" w:asciiTheme="minorEastAsia" w:hAnsiTheme="minorEastAsia" w:eastAsiaTheme="minorEastAsia" w:cstheme="minorEastAsia"/>
                <w:color w:val="auto"/>
                <w:sz w:val="21"/>
                <w:szCs w:val="21"/>
                <w:highlight w:val="none"/>
                <w:lang w:val="en-US" w:eastAsia="zh-CN"/>
              </w:rPr>
              <w:t>基本符合</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szCs w:val="21"/>
              </w:rPr>
              <w:t>O</w:t>
            </w:r>
            <w:r>
              <w:rPr>
                <w:rFonts w:hint="eastAsia"/>
                <w:szCs w:val="21"/>
              </w:rPr>
              <w:t>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hint="eastAsia" w:ascii="宋体" w:hAnsi="宋体" w:cs="宋体"/>
                <w:szCs w:val="21"/>
              </w:rPr>
            </w:pPr>
            <w:r>
              <w:rPr>
                <w:rFonts w:hint="eastAsia" w:ascii="宋体" w:hAnsi="宋体" w:cs="宋体"/>
                <w:szCs w:val="21"/>
                <w:lang w:eastAsia="zh-CN"/>
              </w:rPr>
              <w:t>行政部</w:t>
            </w:r>
            <w:r>
              <w:rPr>
                <w:rFonts w:hint="eastAsia" w:ascii="宋体" w:hAnsi="宋体" w:cs="宋体"/>
                <w:szCs w:val="21"/>
              </w:rPr>
              <w:t>涉及的目标及实现情况是：</w:t>
            </w:r>
          </w:p>
          <w:p>
            <w:pPr>
              <w:pStyle w:val="2"/>
              <w:rPr>
                <w:rFonts w:hint="eastAsia"/>
              </w:rPr>
            </w:pPr>
            <w:r>
              <w:drawing>
                <wp:anchor distT="0" distB="0" distL="114300" distR="114300" simplePos="0" relativeHeight="251658240" behindDoc="0" locked="0" layoutInCell="1" allowOverlap="1">
                  <wp:simplePos x="0" y="0"/>
                  <wp:positionH relativeFrom="column">
                    <wp:posOffset>386715</wp:posOffset>
                  </wp:positionH>
                  <wp:positionV relativeFrom="paragraph">
                    <wp:posOffset>55880</wp:posOffset>
                  </wp:positionV>
                  <wp:extent cx="5628005" cy="1969135"/>
                  <wp:effectExtent l="0" t="0" r="10795" b="1206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628005" cy="1969135"/>
                          </a:xfrm>
                          <a:prstGeom prst="rect">
                            <a:avLst/>
                          </a:prstGeom>
                          <a:noFill/>
                          <a:ln>
                            <a:noFill/>
                          </a:ln>
                        </pic:spPr>
                      </pic:pic>
                    </a:graphicData>
                  </a:graphic>
                </wp:anchor>
              </w:drawing>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日统计结果，目标均已完成。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职业健康安全目标实现措施策划</w:t>
            </w:r>
          </w:p>
        </w:tc>
        <w:tc>
          <w:tcPr>
            <w:tcW w:w="998" w:type="dxa"/>
          </w:tcPr>
          <w:p>
            <w:pPr>
              <w:spacing w:line="360" w:lineRule="auto"/>
              <w:rPr>
                <w:szCs w:val="21"/>
              </w:rPr>
            </w:pPr>
            <w:r>
              <w:rPr>
                <w:szCs w:val="21"/>
              </w:rPr>
              <w:t>O</w:t>
            </w:r>
            <w:r>
              <w:rPr>
                <w:rFonts w:hint="eastAsia"/>
                <w:szCs w:val="21"/>
              </w:rPr>
              <w:t>6.2.2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rPr>
              <w:t>按《危险源辨识、风险评价和控制措施的确定》识别的重大危险制定管理措施，制定《相关方控制程序》等文件；由</w:t>
            </w:r>
            <w:r>
              <w:rPr>
                <w:rFonts w:hint="eastAsia"/>
                <w:lang w:eastAsia="zh-CN"/>
              </w:rPr>
              <w:t>行政部</w:t>
            </w:r>
            <w:r>
              <w:rPr>
                <w:rFonts w:hint="eastAsia"/>
              </w:rPr>
              <w:t>统一管理。基本不涉及重大法规要求的不可接受的</w:t>
            </w:r>
            <w:r>
              <w:rPr>
                <w:rFonts w:hint="eastAsia" w:ascii="Times New Roman" w:hAnsi="Times New Roman" w:eastAsia="宋体" w:cs="Times New Roman"/>
                <w:szCs w:val="22"/>
              </w:rPr>
              <w:t>环境和安全风险</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查见现场服务过程中（可能）发生的触电事故确定的管理措施要求：</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1)严格执行安全用电规范,用电人员必须佩戴劳保用品.</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2)组织相关岗位人员培训学习并认真贯彻实施上述规定。</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3加强施工过程检查,及时纠正违章操作行为。</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4)各种专用设备必须做到用前检查,确保操作安全。</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w:t>
            </w:r>
          </w:p>
          <w:p>
            <w:pPr>
              <w:spacing w:line="360" w:lineRule="auto"/>
              <w:ind w:firstLine="420" w:firstLineChars="200"/>
            </w:pPr>
            <w:r>
              <w:rPr>
                <w:rFonts w:hint="eastAsia" w:ascii="Times New Roman" w:hAnsi="Times New Roman" w:eastAsia="宋体" w:cs="Times New Roman"/>
                <w:szCs w:val="22"/>
              </w:rPr>
              <w:t>查见职业健康安全管理方案共计有</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个，分别是1）机械伤害；2）火灾；3）</w:t>
            </w:r>
            <w:r>
              <w:rPr>
                <w:rFonts w:hint="eastAsia" w:ascii="Times New Roman" w:hAnsi="Times New Roman" w:eastAsia="宋体" w:cs="Times New Roman"/>
                <w:szCs w:val="22"/>
                <w:lang w:val="en-US" w:eastAsia="zh-CN"/>
              </w:rPr>
              <w:t>高空坠落；4）触电</w:t>
            </w:r>
            <w:r>
              <w:rPr>
                <w:rFonts w:hint="eastAsia" w:ascii="Times New Roman" w:hAnsi="Times New Roman" w:eastAsia="宋体" w:cs="Times New Roman"/>
                <w:szCs w:val="22"/>
              </w:rPr>
              <w:t>。方案针对目标及指标提出了管理措施，方案中有具体的实施时间及经费，有相应的实施主体。</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szCs w:val="21"/>
                <w:u w:val="none"/>
              </w:rPr>
            </w:pPr>
            <w:r>
              <w:rPr>
                <w:rFonts w:hint="eastAsia"/>
                <w:szCs w:val="21"/>
                <w:u w:val="none"/>
              </w:rPr>
              <w:t>运行策划和控制</w:t>
            </w:r>
          </w:p>
          <w:p>
            <w:pPr>
              <w:spacing w:line="360" w:lineRule="auto"/>
              <w:rPr>
                <w:b/>
                <w:szCs w:val="21"/>
                <w:u w:val="none"/>
              </w:rPr>
            </w:pPr>
          </w:p>
        </w:tc>
        <w:tc>
          <w:tcPr>
            <w:tcW w:w="998" w:type="dxa"/>
          </w:tcPr>
          <w:p>
            <w:pPr>
              <w:spacing w:line="360" w:lineRule="auto"/>
              <w:rPr>
                <w:b/>
                <w:szCs w:val="21"/>
                <w:u w:val="none"/>
              </w:rPr>
            </w:pPr>
            <w:r>
              <w:rPr>
                <w:rFonts w:hint="eastAsia"/>
                <w:szCs w:val="21"/>
                <w:u w:val="none"/>
              </w:rPr>
              <w:t>E</w:t>
            </w:r>
            <w:r>
              <w:rPr>
                <w:szCs w:val="21"/>
                <w:u w:val="none"/>
              </w:rPr>
              <w:t>O</w:t>
            </w:r>
            <w:r>
              <w:rPr>
                <w:rFonts w:hint="eastAsia"/>
                <w:szCs w:val="21"/>
                <w:u w:val="none"/>
              </w:rPr>
              <w:t>8.1</w:t>
            </w:r>
          </w:p>
        </w:tc>
        <w:tc>
          <w:tcPr>
            <w:tcW w:w="10004" w:type="dxa"/>
            <w:vAlign w:val="center"/>
          </w:tcPr>
          <w:p>
            <w:pPr>
              <w:spacing w:line="360" w:lineRule="auto"/>
              <w:ind w:firstLine="420" w:firstLineChars="200"/>
              <w:rPr>
                <w:rFonts w:hint="eastAsia"/>
              </w:rPr>
            </w:pPr>
            <w:r>
              <w:rPr>
                <w:rFonts w:hint="eastAsia"/>
              </w:rPr>
              <w:t>编制与环境、安全管理体系运行控制有关的文件有《环境因素识别与评价管理程序》、《危险源辨识与风险评价控制措施管理程序》、《相关方控制程序》等。</w:t>
            </w:r>
          </w:p>
          <w:p>
            <w:pPr>
              <w:spacing w:line="360" w:lineRule="auto"/>
              <w:ind w:firstLine="420" w:firstLineChars="200"/>
              <w:rPr>
                <w:rFonts w:hint="eastAsia"/>
              </w:rPr>
            </w:pPr>
            <w:r>
              <w:rPr>
                <w:rFonts w:hint="eastAsia"/>
              </w:rPr>
              <w:t>根据过程的运行准则，组织实施资源能源的消耗控制火灾预防、职业健康安全事故防范等过程的控制，避免和减少了环境职业健康安全的损失。</w:t>
            </w:r>
          </w:p>
          <w:p>
            <w:pPr>
              <w:spacing w:line="360" w:lineRule="auto"/>
              <w:ind w:firstLine="420" w:firstLineChars="200"/>
              <w:rPr>
                <w:rFonts w:hint="eastAsia"/>
              </w:rPr>
            </w:pPr>
            <w:r>
              <w:rPr>
                <w:rFonts w:hint="eastAsia"/>
              </w:rPr>
              <w:t>消防设施检查、节能降耗运行检查、火灾预防运行检查、安全环境检查等关键运行控制信息的证据都以记录或文件的方式保留。</w:t>
            </w:r>
          </w:p>
          <w:p>
            <w:pPr>
              <w:spacing w:line="360" w:lineRule="auto"/>
              <w:ind w:firstLine="420" w:firstLineChars="200"/>
            </w:pPr>
            <w:r>
              <w:rPr>
                <w:rFonts w:hint="eastAsia"/>
              </w:rPr>
              <w:t>1、废水管控</w:t>
            </w:r>
          </w:p>
          <w:p>
            <w:pPr>
              <w:spacing w:line="360" w:lineRule="auto"/>
              <w:ind w:firstLine="420" w:firstLineChars="200"/>
            </w:pPr>
            <w:r>
              <w:rPr>
                <w:rFonts w:hint="eastAsia"/>
              </w:rPr>
              <w:t>主要生活废水排入政府污水管网统一处理。</w:t>
            </w:r>
          </w:p>
          <w:p>
            <w:pPr>
              <w:spacing w:line="360" w:lineRule="auto"/>
              <w:ind w:firstLine="420" w:firstLineChars="200"/>
            </w:pPr>
            <w:r>
              <w:rPr>
                <w:rFonts w:hint="eastAsia"/>
              </w:rPr>
              <w:t>2、固废管控</w:t>
            </w:r>
          </w:p>
          <w:p>
            <w:pPr>
              <w:spacing w:line="360" w:lineRule="auto"/>
              <w:ind w:firstLine="420" w:firstLineChars="200"/>
            </w:pPr>
            <w:r>
              <w:rPr>
                <w:rFonts w:hint="eastAsia"/>
              </w:rPr>
              <w:t>生活垃圾在办公区域集中收集后，由物业管理交环卫部门统一定期清运；回收固废处理（包括危险固废如墨盒、硒鼓等）作好分类，标识交供应商回收。</w:t>
            </w:r>
          </w:p>
          <w:p>
            <w:pPr>
              <w:pStyle w:val="14"/>
              <w:numPr>
                <w:ilvl w:val="0"/>
                <w:numId w:val="1"/>
              </w:numPr>
              <w:spacing w:line="360" w:lineRule="auto"/>
              <w:ind w:firstLineChars="0"/>
            </w:pPr>
            <w:r>
              <w:rPr>
                <w:rFonts w:hint="eastAsia"/>
              </w:rPr>
              <w:t>能源资源管控</w:t>
            </w:r>
          </w:p>
          <w:p>
            <w:pPr>
              <w:spacing w:line="360" w:lineRule="auto"/>
              <w:ind w:firstLine="420" w:firstLineChars="200"/>
            </w:pP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line="360" w:lineRule="auto"/>
              <w:ind w:firstLine="420" w:firstLineChars="200"/>
            </w:pPr>
            <w:r>
              <w:t>4</w:t>
            </w:r>
            <w:r>
              <w:rPr>
                <w:rFonts w:hint="eastAsia"/>
              </w:rPr>
              <w:t>、潜在火灾管控</w:t>
            </w:r>
          </w:p>
          <w:p>
            <w:pPr>
              <w:spacing w:line="360" w:lineRule="auto"/>
              <w:ind w:firstLine="420" w:firstLineChars="200"/>
              <w:rPr>
                <w:rFonts w:hint="eastAsia"/>
                <w:lang w:eastAsia="zh-CN"/>
              </w:rPr>
            </w:pPr>
            <w:r>
              <w:rPr>
                <w:rFonts w:hint="eastAsia"/>
              </w:rPr>
              <w:t>公司</w:t>
            </w:r>
            <w:r>
              <w:rPr>
                <w:rFonts w:hint="eastAsia"/>
                <w:lang w:eastAsia="zh-CN"/>
              </w:rPr>
              <w:t>行政部</w:t>
            </w:r>
            <w:r>
              <w:rPr>
                <w:rFonts w:hint="eastAsia"/>
              </w:rPr>
              <w:t>现场配有灭火器和应急预案</w:t>
            </w:r>
            <w:r>
              <w:rPr>
                <w:rFonts w:hint="eastAsia"/>
                <w:lang w:eastAsia="zh-CN"/>
              </w:rPr>
              <w:t>；</w:t>
            </w:r>
            <w:r>
              <w:rPr>
                <w:rFonts w:hint="eastAsia"/>
                <w:lang w:val="en-US" w:eastAsia="zh-CN"/>
              </w:rPr>
              <w:t>施工现场配置有灭火器，甲方配置有气体报警仪等消防设施</w:t>
            </w:r>
            <w:r>
              <w:rPr>
                <w:rFonts w:hint="eastAsia"/>
              </w:rPr>
              <w:t>。组织相关人员进行培训；日常的检查；制定火灾应急预案</w:t>
            </w:r>
            <w:r>
              <w:rPr>
                <w:rFonts w:hint="eastAsia"/>
                <w:lang w:eastAsia="zh-CN"/>
              </w:rPr>
              <w:t>。</w:t>
            </w:r>
          </w:p>
          <w:p>
            <w:pPr>
              <w:spacing w:line="360" w:lineRule="auto"/>
              <w:ind w:firstLine="420" w:firstLineChars="200"/>
            </w:pPr>
            <w:r>
              <w:t>5</w:t>
            </w:r>
            <w:r>
              <w:rPr>
                <w:rFonts w:hint="eastAsia"/>
              </w:rPr>
              <w:t>、安全防护</w:t>
            </w:r>
          </w:p>
          <w:p>
            <w:pPr>
              <w:spacing w:line="360" w:lineRule="auto"/>
              <w:ind w:firstLine="420" w:firstLineChars="200"/>
              <w:rPr>
                <w:rFonts w:hint="eastAsia" w:ascii="Times New Roman" w:hAnsi="Times New Roman" w:eastAsia="宋体" w:cs="Times New Roman"/>
                <w:szCs w:val="22"/>
              </w:rPr>
            </w:pPr>
            <w:r>
              <w:rPr>
                <w:rFonts w:hint="eastAsia"/>
              </w:rPr>
              <w:t>疫情期间进出公司人员进行温度登记，查看健康码，公司给员工发放口罩等劳保用品，不允许私拉乱扔。</w:t>
            </w:r>
            <w:r>
              <w:rPr>
                <w:rFonts w:hint="eastAsia" w:ascii="宋体" w:hAnsi="宋体" w:cs="宋体"/>
                <w:szCs w:val="21"/>
              </w:rPr>
              <w:t>对</w:t>
            </w:r>
            <w:r>
              <w:rPr>
                <w:rFonts w:hint="eastAsia" w:ascii="Times New Roman" w:hAnsi="Times New Roman" w:eastAsia="宋体" w:cs="Times New Roman"/>
                <w:szCs w:val="22"/>
              </w:rPr>
              <w:t>相关方施加影响</w:t>
            </w:r>
          </w:p>
          <w:p>
            <w:pPr>
              <w:spacing w:line="360" w:lineRule="auto"/>
              <w:ind w:firstLine="420" w:firstLineChars="200"/>
              <w:rPr>
                <w:rFonts w:hint="eastAsia"/>
                <w:szCs w:val="21"/>
                <w:u w:val="none"/>
              </w:rPr>
            </w:pPr>
            <w:r>
              <w:rPr>
                <w:rFonts w:hint="eastAsia" w:ascii="Times New Roman" w:hAnsi="Times New Roman" w:eastAsia="宋体" w:cs="Times New Roman"/>
                <w:szCs w:val="22"/>
              </w:rPr>
              <w:t>组织对进入场所内的供方送货员、访客视情况由安保人员或受访人提醒、签定安全协议等方式，告知相关遵守相应的运行准则，以防止外来人员受到人身伤害或职业健康安危害。</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u w:val="none"/>
              </w:rPr>
            </w:pPr>
            <w:r>
              <w:rPr>
                <w:rFonts w:hint="eastAsia" w:ascii="宋体" w:hAnsi="宋体" w:cs="宋体"/>
                <w:szCs w:val="21"/>
                <w:u w:val="none"/>
              </w:rPr>
              <w:t>应急响应和准备</w:t>
            </w:r>
          </w:p>
        </w:tc>
        <w:tc>
          <w:tcPr>
            <w:tcW w:w="998" w:type="dxa"/>
          </w:tcPr>
          <w:p>
            <w:pPr>
              <w:spacing w:line="360" w:lineRule="auto"/>
              <w:rPr>
                <w:szCs w:val="21"/>
                <w:u w:val="none"/>
              </w:rPr>
            </w:pPr>
            <w:r>
              <w:rPr>
                <w:rFonts w:hint="eastAsia"/>
                <w:szCs w:val="21"/>
                <w:u w:val="none"/>
              </w:rPr>
              <w:t>E</w:t>
            </w:r>
            <w:r>
              <w:rPr>
                <w:szCs w:val="21"/>
                <w:u w:val="none"/>
              </w:rPr>
              <w:t>O</w:t>
            </w:r>
            <w:r>
              <w:rPr>
                <w:rFonts w:hint="eastAsia"/>
                <w:szCs w:val="21"/>
                <w:u w:val="none"/>
              </w:rPr>
              <w:t>8.2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编制了《应急准备和响应管理程序》，查看内容基本符合要求。</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策划了应急预案包括触电、火灾、</w:t>
            </w:r>
            <w:r>
              <w:rPr>
                <w:rFonts w:hint="eastAsia" w:ascii="Times New Roman" w:hAnsi="Times New Roman" w:eastAsia="宋体" w:cs="Times New Roman"/>
                <w:szCs w:val="22"/>
                <w:lang w:val="en-US" w:eastAsia="zh-CN"/>
              </w:rPr>
              <w:t>人身伤害</w:t>
            </w:r>
            <w:r>
              <w:rPr>
                <w:rFonts w:hint="eastAsia" w:ascii="Times New Roman" w:hAnsi="Times New Roman" w:eastAsia="宋体" w:cs="Times New Roman"/>
                <w:szCs w:val="22"/>
              </w:rPr>
              <w:t>等应急预案。</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查应急预案评估报告，通过以上评估，公司应急预案的制定基本合理。</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公司进行了消防灭火演练，查应急演练记录。</w:t>
            </w:r>
          </w:p>
          <w:p>
            <w:pPr>
              <w:spacing w:line="360" w:lineRule="auto"/>
              <w:ind w:firstLine="420" w:firstLineChars="200"/>
            </w:pPr>
            <w:r>
              <w:rPr>
                <w:rFonts w:hint="eastAsia" w:ascii="Times New Roman" w:hAnsi="Times New Roman" w:eastAsia="宋体" w:cs="Times New Roman"/>
                <w:szCs w:val="22"/>
              </w:rPr>
              <w:t>查消防灭火演练，演练时间2020年9月19日下午3点，地点</w:t>
            </w:r>
            <w:r>
              <w:rPr>
                <w:rFonts w:hint="eastAsia" w:ascii="Times New Roman" w:hAnsi="Times New Roman" w:eastAsia="宋体" w:cs="Times New Roman"/>
                <w:szCs w:val="22"/>
                <w:lang w:val="en-US" w:eastAsia="zh-CN"/>
              </w:rPr>
              <w:t>在项目地附近</w:t>
            </w:r>
            <w:r>
              <w:rPr>
                <w:rFonts w:hint="eastAsia" w:ascii="Times New Roman" w:hAnsi="Times New Roman" w:eastAsia="宋体" w:cs="Times New Roman"/>
                <w:szCs w:val="22"/>
              </w:rPr>
              <w:t>，对演练过程进行了描述，并对预案的有效性进</w:t>
            </w:r>
            <w:r>
              <w:rPr>
                <w:rFonts w:hint="eastAsia"/>
              </w:rPr>
              <w:t>行了评价。目前未发生火灾、人身伤害等事故。</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绩效 总则</w:t>
            </w:r>
          </w:p>
          <w:p>
            <w:pPr>
              <w:spacing w:line="360" w:lineRule="auto"/>
              <w:ind w:firstLine="420" w:firstLineChars="200"/>
              <w:rPr>
                <w:rFonts w:hint="eastAsia" w:ascii="宋体" w:hAnsi="宋体" w:eastAsia="宋体" w:cs="宋体"/>
                <w:szCs w:val="21"/>
                <w:lang w:eastAsia="zh-CN"/>
              </w:rPr>
            </w:pPr>
          </w:p>
        </w:tc>
        <w:tc>
          <w:tcPr>
            <w:tcW w:w="998" w:type="dxa"/>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Q</w:t>
            </w:r>
            <w:r>
              <w:rPr>
                <w:rFonts w:hint="eastAsia" w:ascii="宋体" w:hAnsi="宋体" w:cs="宋体"/>
                <w:szCs w:val="21"/>
                <w:lang w:val="en-US" w:eastAsia="zh-CN"/>
              </w:rPr>
              <w:t>EO</w:t>
            </w:r>
            <w:r>
              <w:rPr>
                <w:rFonts w:hint="eastAsia" w:ascii="宋体" w:hAnsi="宋体" w:eastAsia="宋体" w:cs="宋体"/>
                <w:szCs w:val="21"/>
                <w:lang w:eastAsia="zh-CN"/>
              </w:rPr>
              <w:t>9.1.1</w:t>
            </w:r>
          </w:p>
          <w:p>
            <w:pPr>
              <w:spacing w:line="360" w:lineRule="auto"/>
              <w:ind w:firstLine="420" w:firstLineChars="200"/>
              <w:rPr>
                <w:rFonts w:hint="eastAsia" w:ascii="宋体" w:hAnsi="宋体" w:eastAsia="宋体" w:cs="宋体"/>
                <w:szCs w:val="21"/>
                <w:lang w:eastAsia="zh-CN"/>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运营管理</w:t>
            </w:r>
            <w:r>
              <w:rPr>
                <w:rFonts w:hint="eastAsia" w:ascii="宋体" w:hAnsi="宋体"/>
                <w:sz w:val="21"/>
                <w:szCs w:val="21"/>
                <w:lang w:eastAsia="zh-CN"/>
              </w:rPr>
              <w:t>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行政部</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98" w:type="dxa"/>
            <w:vAlign w:val="top"/>
          </w:tcPr>
          <w:p>
            <w:pPr>
              <w:rPr>
                <w:rFonts w:ascii="宋体" w:hAnsi="宋体" w:cs="新宋体"/>
                <w:szCs w:val="21"/>
              </w:rPr>
            </w:pPr>
            <w:r>
              <w:rPr>
                <w:rFonts w:hint="eastAsia" w:ascii="宋体" w:hAnsi="宋体" w:cs="新宋体"/>
                <w:szCs w:val="21"/>
              </w:rPr>
              <w:t xml:space="preserve">E9.1 </w:t>
            </w:r>
          </w:p>
          <w:p>
            <w:pPr>
              <w:rPr>
                <w:rFonts w:hint="eastAsia" w:ascii="宋体" w:hAnsi="宋体" w:eastAsia="宋体" w:cs="新宋体"/>
                <w:kern w:val="2"/>
                <w:sz w:val="21"/>
                <w:szCs w:val="21"/>
                <w:lang w:val="en-US" w:eastAsia="zh-CN" w:bidi="ar-SA"/>
              </w:rPr>
            </w:pPr>
            <w:r>
              <w:rPr>
                <w:rFonts w:hint="eastAsia" w:ascii="宋体" w:hAnsi="宋体" w:cs="新宋体"/>
                <w:szCs w:val="21"/>
              </w:rPr>
              <w:t>S9.1</w:t>
            </w:r>
          </w:p>
        </w:tc>
        <w:tc>
          <w:tcPr>
            <w:tcW w:w="10004" w:type="dxa"/>
            <w:vAlign w:val="top"/>
          </w:tcPr>
          <w:p>
            <w:pPr>
              <w:spacing w:line="400" w:lineRule="exact"/>
              <w:rPr>
                <w:rFonts w:ascii="宋体" w:hAnsi="宋体" w:cs="宋体"/>
                <w:szCs w:val="21"/>
              </w:rPr>
            </w:pPr>
            <w:r>
              <w:rPr>
                <w:rFonts w:hint="eastAsia" w:ascii="宋体" w:hAnsi="宋体" w:cs="宋体"/>
                <w:szCs w:val="21"/>
              </w:rPr>
              <w:t>----有《环境与职业健康安全运行管理制度》和管理文件。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月份的安全环境检查月报记录。</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查施工现场甘肃省庆阳市华池县冉崾岘，</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 职工健康体检报告</w:t>
            </w:r>
            <w:r>
              <w:rPr>
                <w:rFonts w:hint="eastAsia" w:ascii="宋体" w:hAnsi="宋体" w:cs="宋体"/>
                <w:color w:val="auto"/>
                <w:szCs w:val="21"/>
                <w:lang w:eastAsia="zh-CN"/>
              </w:rPr>
              <w:t>，</w:t>
            </w:r>
            <w:r>
              <w:rPr>
                <w:rFonts w:hint="eastAsia" w:ascii="宋体" w:hAnsi="宋体" w:cs="宋体"/>
                <w:color w:val="auto"/>
                <w:szCs w:val="21"/>
                <w:lang w:val="en-US" w:eastAsia="zh-CN"/>
              </w:rPr>
              <w:t>在普惠体检健康产业集团（西安劳南嘉宾体检中心）于2020年1月1日-2020年4月1日对42名员工进行了体检，体检中心建议：1、对检出患有高血压、冠心病、糖尿病、肥胖病等慢性疾病或有相关家族遗传病史者，建议定期复查。</w:t>
            </w:r>
          </w:p>
          <w:p>
            <w:pPr>
              <w:numPr>
                <w:ilvl w:val="0"/>
                <w:numId w:val="2"/>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对检出某项指标异常（血压、血糖、血尿酸、血脂等）者，应定期复查、确诊，积极改善生活方 式，早期控制疾病诱发因素，有效降低健康隐患等。如下：</w:t>
            </w: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r>
              <w:drawing>
                <wp:anchor distT="0" distB="0" distL="114300" distR="114300" simplePos="0" relativeHeight="251661312" behindDoc="0" locked="0" layoutInCell="1" allowOverlap="1">
                  <wp:simplePos x="0" y="0"/>
                  <wp:positionH relativeFrom="column">
                    <wp:posOffset>2278380</wp:posOffset>
                  </wp:positionH>
                  <wp:positionV relativeFrom="paragraph">
                    <wp:posOffset>81915</wp:posOffset>
                  </wp:positionV>
                  <wp:extent cx="1850390" cy="2551430"/>
                  <wp:effectExtent l="0" t="0" r="3810" b="127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1850390" cy="255143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4351655</wp:posOffset>
                  </wp:positionH>
                  <wp:positionV relativeFrom="paragraph">
                    <wp:posOffset>73660</wp:posOffset>
                  </wp:positionV>
                  <wp:extent cx="1797685" cy="2560320"/>
                  <wp:effectExtent l="0" t="0" r="5715" b="508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1797685" cy="256032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196850</wp:posOffset>
                  </wp:positionH>
                  <wp:positionV relativeFrom="paragraph">
                    <wp:posOffset>71755</wp:posOffset>
                  </wp:positionV>
                  <wp:extent cx="1813560" cy="2552065"/>
                  <wp:effectExtent l="0" t="0" r="2540" b="6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1813560" cy="2552065"/>
                          </a:xfrm>
                          <a:prstGeom prst="rect">
                            <a:avLst/>
                          </a:prstGeom>
                          <a:noFill/>
                          <a:ln>
                            <a:noFill/>
                          </a:ln>
                        </pic:spPr>
                      </pic:pic>
                    </a:graphicData>
                  </a:graphic>
                </wp:anchor>
              </w:drawing>
            </w: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pStyle w:val="2"/>
              <w:widowControl w:val="0"/>
              <w:numPr>
                <w:ilvl w:val="0"/>
                <w:numId w:val="0"/>
              </w:numPr>
              <w:spacing w:line="420" w:lineRule="exact"/>
              <w:jc w:val="both"/>
              <w:rPr>
                <w:rFonts w:hint="default"/>
                <w:lang w:val="en-US" w:eastAsia="zh-CN"/>
              </w:rPr>
            </w:pPr>
          </w:p>
          <w:p>
            <w:pPr>
              <w:rPr>
                <w:rFonts w:hint="eastAsia" w:ascii="宋体" w:hAnsi="宋体" w:eastAsia="宋体" w:cs="宋体"/>
                <w:szCs w:val="21"/>
                <w:lang w:eastAsia="zh-CN"/>
              </w:rPr>
            </w:pPr>
          </w:p>
          <w:p>
            <w:pPr>
              <w:pStyle w:val="2"/>
              <w:rPr>
                <w:rFonts w:hint="eastAsia" w:ascii="宋体" w:hAnsi="宋体" w:eastAsia="宋体" w:cs="宋体"/>
                <w:szCs w:val="21"/>
                <w:lang w:eastAsia="zh-CN"/>
              </w:rPr>
            </w:pPr>
          </w:p>
          <w:p>
            <w:pPr>
              <w:spacing w:line="360" w:lineRule="auto"/>
              <w:ind w:firstLine="420" w:firstLineChars="200"/>
              <w:rPr>
                <w:rFonts w:hint="eastAsia" w:ascii="Times New Roman" w:hAnsi="Times New Roman" w:eastAsia="宋体" w:cs="Times New Roman"/>
                <w:szCs w:val="21"/>
                <w:u w:val="none"/>
                <w:lang w:val="en-US" w:eastAsia="zh-CN"/>
              </w:rPr>
            </w:pPr>
          </w:p>
          <w:p>
            <w:pPr>
              <w:spacing w:line="360" w:lineRule="auto"/>
              <w:ind w:firstLine="420" w:firstLineChars="200"/>
              <w:rPr>
                <w:rFonts w:hint="eastAsia" w:ascii="Times New Roman" w:hAnsi="Times New Roman" w:eastAsia="宋体" w:cs="Times New Roman"/>
                <w:szCs w:val="21"/>
                <w:u w:val="none"/>
                <w:lang w:val="en-US" w:eastAsia="zh-CN"/>
              </w:rPr>
            </w:pPr>
          </w:p>
          <w:p>
            <w:pPr>
              <w:spacing w:line="360" w:lineRule="auto"/>
              <w:ind w:firstLine="420" w:firstLineChars="200"/>
              <w:rPr>
                <w:rFonts w:hint="eastAsia" w:ascii="Times New Roman" w:hAnsi="Times New Roman" w:eastAsia="宋体" w:cs="Times New Roman"/>
                <w:szCs w:val="21"/>
                <w:u w:val="none"/>
                <w:lang w:val="en-US" w:eastAsia="zh-CN"/>
              </w:rPr>
            </w:pPr>
          </w:p>
          <w:p>
            <w:pPr>
              <w:spacing w:line="360" w:lineRule="auto"/>
              <w:ind w:firstLine="420" w:firstLineChars="200"/>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查公司为员工交社保的情况，抽查了员工惠小明、王栋、段志远2020年度社保缴费证明，如下：</w:t>
            </w:r>
          </w:p>
          <w:p>
            <w:pPr>
              <w:pStyle w:val="2"/>
              <w:rPr>
                <w:rFonts w:hint="eastAsia" w:ascii="Times New Roman" w:hAnsi="Times New Roman" w:eastAsia="宋体" w:cs="Times New Roman"/>
                <w:szCs w:val="21"/>
                <w:u w:val="none"/>
                <w:lang w:val="en-US" w:eastAsia="zh-CN"/>
              </w:rPr>
            </w:pPr>
            <w:r>
              <w:drawing>
                <wp:anchor distT="0" distB="0" distL="114300" distR="114300" simplePos="0" relativeHeight="251663360" behindDoc="0" locked="0" layoutInCell="1" allowOverlap="1">
                  <wp:simplePos x="0" y="0"/>
                  <wp:positionH relativeFrom="column">
                    <wp:posOffset>3180715</wp:posOffset>
                  </wp:positionH>
                  <wp:positionV relativeFrom="paragraph">
                    <wp:posOffset>77470</wp:posOffset>
                  </wp:positionV>
                  <wp:extent cx="2898775" cy="1826895"/>
                  <wp:effectExtent l="0" t="0" r="9525" b="190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2898775" cy="18268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147955</wp:posOffset>
                  </wp:positionH>
                  <wp:positionV relativeFrom="paragraph">
                    <wp:posOffset>77470</wp:posOffset>
                  </wp:positionV>
                  <wp:extent cx="2921000" cy="1830070"/>
                  <wp:effectExtent l="0" t="0" r="0" b="1143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a:stretch>
                            <a:fillRect/>
                          </a:stretch>
                        </pic:blipFill>
                        <pic:spPr>
                          <a:xfrm>
                            <a:off x="0" y="0"/>
                            <a:ext cx="2921000" cy="1830070"/>
                          </a:xfrm>
                          <a:prstGeom prst="rect">
                            <a:avLst/>
                          </a:prstGeom>
                          <a:noFill/>
                          <a:ln>
                            <a:noFill/>
                          </a:ln>
                        </pic:spPr>
                      </pic:pic>
                    </a:graphicData>
                  </a:graphic>
                </wp:anchor>
              </w:drawing>
            </w:r>
          </w:p>
          <w:p>
            <w:pPr>
              <w:pStyle w:val="2"/>
              <w:rPr>
                <w:rFonts w:hint="eastAsia" w:ascii="Times New Roman" w:hAnsi="Times New Roman" w:eastAsia="宋体" w:cs="Times New Roman"/>
                <w:szCs w:val="21"/>
                <w:u w:val="none"/>
                <w:lang w:val="en-US" w:eastAsia="zh-CN"/>
              </w:rPr>
            </w:pPr>
          </w:p>
          <w:p>
            <w:pPr>
              <w:pStyle w:val="2"/>
              <w:rPr>
                <w:rFonts w:hint="eastAsia" w:ascii="Times New Roman" w:hAnsi="Times New Roman" w:eastAsia="宋体" w:cs="Times New Roman"/>
                <w:szCs w:val="21"/>
                <w:u w:val="none"/>
                <w:lang w:val="en-US" w:eastAsia="zh-CN"/>
              </w:rPr>
            </w:pPr>
          </w:p>
          <w:p>
            <w:pPr>
              <w:pStyle w:val="2"/>
              <w:rPr>
                <w:rFonts w:hint="eastAsia" w:ascii="Times New Roman" w:hAnsi="Times New Roman" w:eastAsia="宋体" w:cs="Times New Roman"/>
                <w:szCs w:val="21"/>
                <w:u w:val="none"/>
                <w:lang w:val="en-US" w:eastAsia="zh-CN"/>
              </w:rPr>
            </w:pPr>
          </w:p>
          <w:p>
            <w:pPr>
              <w:pStyle w:val="2"/>
              <w:rPr>
                <w:rFonts w:hint="eastAsia" w:ascii="Times New Roman" w:hAnsi="Times New Roman" w:eastAsia="宋体" w:cs="Times New Roman"/>
                <w:szCs w:val="21"/>
                <w:u w:val="none"/>
                <w:lang w:val="en-US" w:eastAsia="zh-CN"/>
              </w:rPr>
            </w:pPr>
          </w:p>
          <w:p>
            <w:pPr>
              <w:pStyle w:val="2"/>
              <w:rPr>
                <w:rFonts w:hint="eastAsia" w:ascii="Times New Roman" w:hAnsi="Times New Roman" w:eastAsia="宋体" w:cs="Times New Roman"/>
                <w:szCs w:val="21"/>
                <w:u w:val="none"/>
                <w:lang w:val="en-US" w:eastAsia="zh-CN"/>
              </w:rPr>
            </w:pPr>
          </w:p>
          <w:p>
            <w:pPr>
              <w:pStyle w:val="2"/>
              <w:rPr>
                <w:rFonts w:hint="default" w:ascii="Times New Roman" w:hAnsi="Times New Roman" w:eastAsia="宋体" w:cs="Times New Roman"/>
                <w:szCs w:val="21"/>
                <w:u w:val="none"/>
                <w:lang w:val="en-US" w:eastAsia="zh-CN"/>
              </w:rPr>
            </w:pP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Times New Roman" w:hAnsi="Times New Roman" w:eastAsia="宋体" w:cs="Times New Roman"/>
                <w:szCs w:val="21"/>
                <w:u w:val="none"/>
              </w:rPr>
              <w:t xml:space="preserve"> </w:t>
            </w:r>
            <w:r>
              <w:rPr>
                <w:rFonts w:hint="eastAsia" w:ascii="宋体" w:hAnsi="宋体" w:cs="宋体"/>
                <w:szCs w:val="21"/>
              </w:rPr>
              <w:t xml:space="preserve">  </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内部审核</w:t>
            </w:r>
          </w:p>
        </w:tc>
        <w:tc>
          <w:tcPr>
            <w:tcW w:w="998"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QE</w:t>
            </w:r>
            <w:r>
              <w:rPr>
                <w:u w:val="none"/>
              </w:rPr>
              <w:t>O</w:t>
            </w:r>
            <w:r>
              <w:rPr>
                <w:rFonts w:hint="eastAsia"/>
                <w:u w:val="none"/>
              </w:rPr>
              <w:t>9.</w:t>
            </w:r>
            <w:r>
              <w:rPr>
                <w:u w:val="none"/>
              </w:rPr>
              <w:t>2</w:t>
            </w:r>
          </w:p>
        </w:tc>
        <w:tc>
          <w:tcPr>
            <w:tcW w:w="10004" w:type="dxa"/>
            <w:vAlign w:val="center"/>
          </w:tcPr>
          <w:p>
            <w:pPr>
              <w:spacing w:line="360" w:lineRule="auto"/>
              <w:ind w:firstLine="420" w:firstLineChars="200"/>
              <w:rPr>
                <w:szCs w:val="21"/>
                <w:u w:val="none"/>
              </w:rPr>
            </w:pPr>
            <w:r>
              <w:rPr>
                <w:rFonts w:hint="eastAsia"/>
                <w:szCs w:val="21"/>
                <w:u w:val="none"/>
              </w:rPr>
              <w:t>编制了《内部审核</w:t>
            </w:r>
            <w:r>
              <w:rPr>
                <w:rFonts w:hint="eastAsia"/>
                <w:szCs w:val="21"/>
                <w:u w:val="none"/>
                <w:lang w:val="en-US" w:eastAsia="zh-CN"/>
              </w:rPr>
              <w:t>控制</w:t>
            </w:r>
            <w:r>
              <w:rPr>
                <w:rFonts w:hint="eastAsia"/>
                <w:szCs w:val="21"/>
                <w:u w:val="none"/>
              </w:rPr>
              <w:t>程序》，由管代定期组织每年进行一次内审，间隔不超过12月份，全体内审员参加。</w:t>
            </w:r>
          </w:p>
          <w:p>
            <w:pPr>
              <w:spacing w:line="360" w:lineRule="auto"/>
              <w:ind w:firstLine="420" w:firstLineChars="200"/>
              <w:rPr>
                <w:szCs w:val="21"/>
                <w:u w:val="none"/>
              </w:rPr>
            </w:pPr>
            <w:r>
              <w:rPr>
                <w:rFonts w:hint="eastAsia"/>
                <w:szCs w:val="21"/>
                <w:u w:val="none"/>
              </w:rPr>
              <w:t>依据</w:t>
            </w:r>
            <w:r>
              <w:rPr>
                <w:szCs w:val="21"/>
                <w:u w:val="none"/>
              </w:rPr>
              <w:t>GB/T 1</w:t>
            </w:r>
            <w:r>
              <w:rPr>
                <w:rFonts w:hint="eastAsia"/>
                <w:szCs w:val="21"/>
                <w:u w:val="none"/>
              </w:rPr>
              <w:t>9001-201</w:t>
            </w:r>
            <w:r>
              <w:rPr>
                <w:szCs w:val="21"/>
                <w:u w:val="none"/>
              </w:rPr>
              <w:t>6</w:t>
            </w:r>
            <w:r>
              <w:rPr>
                <w:rFonts w:hint="eastAsia"/>
                <w:szCs w:val="21"/>
                <w:u w:val="none"/>
              </w:rPr>
              <w:t>、</w:t>
            </w:r>
            <w:r>
              <w:rPr>
                <w:szCs w:val="21"/>
                <w:u w:val="none"/>
              </w:rPr>
              <w:t>GB/T 24</w:t>
            </w:r>
            <w:r>
              <w:rPr>
                <w:rFonts w:hint="eastAsia"/>
                <w:szCs w:val="21"/>
                <w:u w:val="none"/>
              </w:rPr>
              <w:t>001-201</w:t>
            </w:r>
            <w:r>
              <w:rPr>
                <w:szCs w:val="21"/>
                <w:u w:val="none"/>
              </w:rPr>
              <w:t>6</w:t>
            </w:r>
            <w:r>
              <w:rPr>
                <w:rFonts w:hint="eastAsia"/>
                <w:szCs w:val="21"/>
                <w:u w:val="none"/>
              </w:rPr>
              <w:t>、</w:t>
            </w:r>
            <w:r>
              <w:rPr>
                <w:szCs w:val="21"/>
                <w:u w:val="none"/>
              </w:rPr>
              <w:t>GB/T 45</w:t>
            </w:r>
            <w:r>
              <w:rPr>
                <w:rFonts w:hint="eastAsia"/>
                <w:szCs w:val="21"/>
                <w:u w:val="none"/>
              </w:rPr>
              <w:t>001</w:t>
            </w:r>
            <w:r>
              <w:rPr>
                <w:szCs w:val="21"/>
                <w:u w:val="none"/>
              </w:rPr>
              <w:t>-2020</w:t>
            </w:r>
            <w:r>
              <w:rPr>
                <w:rFonts w:hint="eastAsia"/>
                <w:szCs w:val="21"/>
                <w:u w:val="none"/>
              </w:rPr>
              <w:t>标准、体系文件、相关法律法规等.</w:t>
            </w:r>
          </w:p>
          <w:p>
            <w:pPr>
              <w:spacing w:line="360" w:lineRule="auto"/>
              <w:ind w:firstLine="420" w:firstLineChars="200"/>
              <w:rPr>
                <w:szCs w:val="21"/>
                <w:u w:val="none"/>
              </w:rPr>
            </w:pPr>
            <w:r>
              <w:rPr>
                <w:rFonts w:hint="eastAsia"/>
                <w:szCs w:val="21"/>
                <w:u w:val="none"/>
              </w:rPr>
              <w:t>提供《20</w:t>
            </w:r>
            <w:r>
              <w:rPr>
                <w:szCs w:val="21"/>
                <w:u w:val="none"/>
              </w:rPr>
              <w:t>20</w:t>
            </w:r>
            <w:r>
              <w:rPr>
                <w:rFonts w:hint="eastAsia"/>
                <w:szCs w:val="21"/>
                <w:u w:val="none"/>
              </w:rPr>
              <w:t>年度内部审核计划》，内审安排1次。明确审核目的、范围、依据、日期（20</w:t>
            </w:r>
            <w:r>
              <w:rPr>
                <w:szCs w:val="21"/>
                <w:u w:val="none"/>
              </w:rPr>
              <w:t>20.</w:t>
            </w:r>
            <w:r>
              <w:rPr>
                <w:rFonts w:hint="eastAsia"/>
                <w:szCs w:val="21"/>
                <w:u w:val="none"/>
                <w:lang w:val="en-US" w:eastAsia="zh-CN"/>
              </w:rPr>
              <w:t>12.5</w:t>
            </w:r>
            <w:r>
              <w:rPr>
                <w:rFonts w:hint="eastAsia"/>
                <w:szCs w:val="21"/>
                <w:u w:val="none"/>
              </w:rPr>
              <w:t>），编制:</w:t>
            </w:r>
            <w:r>
              <w:rPr>
                <w:rFonts w:hint="eastAsia"/>
                <w:szCs w:val="21"/>
                <w:u w:val="none"/>
                <w:lang w:val="en-US" w:eastAsia="zh-CN"/>
              </w:rPr>
              <w:t>李苏燕</w:t>
            </w:r>
            <w:r>
              <w:rPr>
                <w:rFonts w:hint="eastAsia"/>
                <w:szCs w:val="21"/>
                <w:u w:val="none"/>
              </w:rPr>
              <w:t xml:space="preserve">  审批：</w:t>
            </w:r>
            <w:r>
              <w:rPr>
                <w:rFonts w:hint="eastAsia"/>
                <w:szCs w:val="21"/>
                <w:u w:val="none"/>
                <w:lang w:val="en-US" w:eastAsia="zh-CN"/>
              </w:rPr>
              <w:t>周东福</w:t>
            </w:r>
            <w:r>
              <w:rPr>
                <w:rFonts w:hint="eastAsia"/>
                <w:szCs w:val="21"/>
                <w:u w:val="none"/>
              </w:rPr>
              <w:t>。</w:t>
            </w:r>
          </w:p>
          <w:p>
            <w:pPr>
              <w:spacing w:line="360" w:lineRule="auto"/>
              <w:ind w:firstLine="420" w:firstLineChars="200"/>
              <w:rPr>
                <w:szCs w:val="21"/>
                <w:u w:val="none"/>
              </w:rPr>
            </w:pPr>
            <w:r>
              <w:rPr>
                <w:rFonts w:hint="eastAsia"/>
                <w:szCs w:val="21"/>
                <w:u w:val="none"/>
              </w:rPr>
              <w:t>提供QEO《审核实施计划》；内部审核计划日程安排：2020.</w:t>
            </w:r>
            <w:r>
              <w:rPr>
                <w:rFonts w:hint="eastAsia"/>
                <w:szCs w:val="21"/>
                <w:u w:val="none"/>
                <w:lang w:val="en-US" w:eastAsia="zh-CN"/>
              </w:rPr>
              <w:t>12</w:t>
            </w:r>
            <w:r>
              <w:rPr>
                <w:rFonts w:hint="eastAsia"/>
                <w:szCs w:val="21"/>
                <w:u w:val="none"/>
              </w:rPr>
              <w:t>.8-9，组长：李苏燕，组员：魏少丹，有培训记录和总经理的任命书；</w:t>
            </w:r>
          </w:p>
          <w:p>
            <w:pPr>
              <w:spacing w:line="360" w:lineRule="auto"/>
              <w:ind w:firstLine="420" w:firstLineChars="200"/>
              <w:rPr>
                <w:szCs w:val="21"/>
                <w:u w:val="none"/>
              </w:rPr>
            </w:pPr>
            <w:r>
              <w:rPr>
                <w:rFonts w:hint="eastAsia"/>
                <w:szCs w:val="21"/>
                <w:u w:val="none"/>
              </w:rPr>
              <w:t>审核目的、依据、范围和方法及审核安排，计划覆盖的部门或条款基本齐全，查看内审相关资料，内部质量管理体系审核实施，共有</w:t>
            </w:r>
            <w:r>
              <w:rPr>
                <w:rFonts w:hint="eastAsia"/>
                <w:szCs w:val="21"/>
                <w:u w:val="none"/>
                <w:lang w:val="en-US" w:eastAsia="zh-CN"/>
              </w:rPr>
              <w:t>6</w:t>
            </w:r>
            <w:r>
              <w:rPr>
                <w:rFonts w:hint="eastAsia"/>
                <w:szCs w:val="21"/>
                <w:u w:val="none"/>
              </w:rPr>
              <w:t>人参加会议，其中：包括总经理、体系推行人、各部门负责人（查参加部门、人员基本齐全），计划内容涉及各部门，条款覆盖整个体系，时间安排合理。同时考虑到互查的公正性，有签到表。</w:t>
            </w:r>
          </w:p>
          <w:p>
            <w:pPr>
              <w:spacing w:line="360" w:lineRule="auto"/>
              <w:ind w:firstLine="420" w:firstLineChars="200"/>
              <w:rPr>
                <w:szCs w:val="21"/>
                <w:u w:val="none"/>
              </w:rPr>
            </w:pPr>
            <w:r>
              <w:rPr>
                <w:rFonts w:hint="eastAsia"/>
                <w:szCs w:val="21"/>
                <w:u w:val="none"/>
              </w:rPr>
              <w:t>查《内审检查表》，有</w:t>
            </w:r>
            <w:r>
              <w:rPr>
                <w:rFonts w:hint="eastAsia"/>
                <w:color w:val="000000"/>
                <w:szCs w:val="21"/>
                <w:u w:val="none"/>
                <w:lang w:eastAsia="zh-CN"/>
              </w:rPr>
              <w:t>行政部</w:t>
            </w:r>
            <w:r>
              <w:rPr>
                <w:rFonts w:hint="eastAsia"/>
                <w:color w:val="000000"/>
                <w:szCs w:val="21"/>
                <w:u w:val="none"/>
              </w:rPr>
              <w:t>、</w:t>
            </w:r>
            <w:r>
              <w:rPr>
                <w:rFonts w:hint="eastAsia"/>
                <w:color w:val="000000"/>
                <w:szCs w:val="21"/>
                <w:u w:val="none"/>
                <w:lang w:val="en-US" w:eastAsia="zh-CN"/>
              </w:rPr>
              <w:t>市场部</w:t>
            </w:r>
            <w:r>
              <w:rPr>
                <w:rFonts w:hint="eastAsia"/>
                <w:color w:val="000000"/>
                <w:szCs w:val="21"/>
                <w:u w:val="none"/>
              </w:rPr>
              <w:t>、</w:t>
            </w:r>
            <w:r>
              <w:rPr>
                <w:rFonts w:hint="eastAsia"/>
                <w:color w:val="000000"/>
                <w:szCs w:val="21"/>
                <w:u w:val="none"/>
                <w:lang w:val="en-US" w:eastAsia="zh-CN"/>
              </w:rPr>
              <w:t>工程</w:t>
            </w:r>
            <w:r>
              <w:rPr>
                <w:rFonts w:hint="eastAsia"/>
                <w:color w:val="000000"/>
                <w:szCs w:val="21"/>
                <w:u w:val="none"/>
              </w:rPr>
              <w:t>部</w:t>
            </w:r>
            <w:r>
              <w:rPr>
                <w:rFonts w:hint="eastAsia"/>
                <w:color w:val="000000"/>
                <w:szCs w:val="21"/>
                <w:u w:val="none"/>
                <w:lang w:eastAsia="zh-CN"/>
              </w:rPr>
              <w:t>、</w:t>
            </w:r>
            <w:r>
              <w:rPr>
                <w:rFonts w:hint="eastAsia"/>
                <w:color w:val="000000"/>
                <w:szCs w:val="21"/>
                <w:u w:val="none"/>
                <w:lang w:val="en-US" w:eastAsia="zh-CN"/>
              </w:rPr>
              <w:t>管理层</w:t>
            </w:r>
            <w:r>
              <w:rPr>
                <w:rFonts w:hint="eastAsia"/>
                <w:szCs w:val="21"/>
                <w:u w:val="none"/>
              </w:rPr>
              <w:t>等部门的审核记录，条款与策划一致，记录真实、完整。包括QEO体系所有条款，没有遗漏。</w:t>
            </w:r>
          </w:p>
          <w:p>
            <w:pPr>
              <w:spacing w:line="360" w:lineRule="auto"/>
              <w:ind w:firstLine="420" w:firstLineChars="200"/>
              <w:rPr>
                <w:szCs w:val="21"/>
                <w:u w:val="none"/>
              </w:rPr>
            </w:pPr>
            <w:r>
              <w:rPr>
                <w:rFonts w:hint="eastAsia"/>
                <w:szCs w:val="21"/>
                <w:u w:val="none"/>
              </w:rPr>
              <w:t>查《不合格报告》本次开具不符合报告</w:t>
            </w:r>
            <w:r>
              <w:rPr>
                <w:rFonts w:hint="eastAsia"/>
                <w:szCs w:val="21"/>
                <w:u w:val="none"/>
                <w:lang w:val="en-US" w:eastAsia="zh-CN"/>
              </w:rPr>
              <w:t>1</w:t>
            </w:r>
            <w:r>
              <w:rPr>
                <w:rFonts w:hint="eastAsia"/>
                <w:szCs w:val="21"/>
                <w:u w:val="none"/>
              </w:rPr>
              <w:t>份，主要涉及Q</w:t>
            </w:r>
            <w:r>
              <w:rPr>
                <w:rFonts w:hint="eastAsia"/>
                <w:szCs w:val="21"/>
                <w:u w:val="none"/>
                <w:lang w:val="en-US" w:eastAsia="zh-CN"/>
              </w:rPr>
              <w:t>7.2</w:t>
            </w:r>
            <w:r>
              <w:rPr>
                <w:rFonts w:hint="eastAsia"/>
                <w:szCs w:val="21"/>
                <w:u w:val="none"/>
              </w:rPr>
              <w:t>/</w:t>
            </w:r>
            <w:r>
              <w:rPr>
                <w:szCs w:val="21"/>
                <w:u w:val="none"/>
              </w:rPr>
              <w:t>E</w:t>
            </w:r>
            <w:r>
              <w:rPr>
                <w:rFonts w:hint="eastAsia"/>
                <w:szCs w:val="21"/>
                <w:u w:val="none"/>
              </w:rPr>
              <w:t>O</w:t>
            </w:r>
            <w:r>
              <w:rPr>
                <w:rFonts w:hint="eastAsia"/>
                <w:szCs w:val="21"/>
                <w:u w:val="none"/>
                <w:lang w:val="en-US" w:eastAsia="zh-CN"/>
              </w:rPr>
              <w:t>7.2</w:t>
            </w:r>
            <w:r>
              <w:rPr>
                <w:rFonts w:hint="eastAsia"/>
                <w:szCs w:val="21"/>
                <w:u w:val="none"/>
              </w:rPr>
              <w:t>条款。对于不符合项所采取的纠正等措施，各内审员逐一进行了验证。上述内容记录完整。</w:t>
            </w:r>
          </w:p>
          <w:p>
            <w:pPr>
              <w:spacing w:line="360" w:lineRule="auto"/>
              <w:ind w:firstLine="420" w:firstLineChars="200"/>
              <w:rPr>
                <w:szCs w:val="21"/>
                <w:u w:val="none"/>
              </w:rPr>
            </w:pPr>
            <w:r>
              <w:rPr>
                <w:rFonts w:hint="eastAsia"/>
                <w:szCs w:val="21"/>
                <w:u w:val="none"/>
              </w:rPr>
              <w:t>提供《内部审核报告》，结论： 公司建立的质量/环境/职业健康安全管理体系基本符合</w:t>
            </w:r>
            <w:r>
              <w:rPr>
                <w:szCs w:val="21"/>
                <w:u w:val="none"/>
              </w:rPr>
              <w:t>GB/T 1</w:t>
            </w:r>
            <w:r>
              <w:rPr>
                <w:rFonts w:hint="eastAsia"/>
                <w:szCs w:val="21"/>
                <w:u w:val="none"/>
              </w:rPr>
              <w:t>9001-201</w:t>
            </w:r>
            <w:r>
              <w:rPr>
                <w:szCs w:val="21"/>
                <w:u w:val="none"/>
              </w:rPr>
              <w:t>6</w:t>
            </w:r>
            <w:r>
              <w:rPr>
                <w:rFonts w:hint="eastAsia"/>
                <w:szCs w:val="21"/>
                <w:u w:val="none"/>
              </w:rPr>
              <w:t>、</w:t>
            </w:r>
            <w:r>
              <w:rPr>
                <w:szCs w:val="21"/>
                <w:u w:val="none"/>
              </w:rPr>
              <w:t>GB/T 24</w:t>
            </w:r>
            <w:r>
              <w:rPr>
                <w:rFonts w:hint="eastAsia"/>
                <w:szCs w:val="21"/>
                <w:u w:val="none"/>
              </w:rPr>
              <w:t>001-201</w:t>
            </w:r>
            <w:r>
              <w:rPr>
                <w:szCs w:val="21"/>
                <w:u w:val="none"/>
              </w:rPr>
              <w:t>6</w:t>
            </w:r>
            <w:r>
              <w:rPr>
                <w:rFonts w:hint="eastAsia"/>
                <w:szCs w:val="21"/>
                <w:u w:val="none"/>
              </w:rPr>
              <w:t>、</w:t>
            </w:r>
            <w:r>
              <w:rPr>
                <w:szCs w:val="21"/>
                <w:u w:val="none"/>
              </w:rPr>
              <w:t>GB/T 45</w:t>
            </w:r>
            <w:r>
              <w:rPr>
                <w:rFonts w:hint="eastAsia"/>
                <w:szCs w:val="21"/>
                <w:u w:val="none"/>
              </w:rPr>
              <w:t>001</w:t>
            </w:r>
            <w:r>
              <w:rPr>
                <w:szCs w:val="21"/>
                <w:u w:val="none"/>
              </w:rPr>
              <w:t>:</w:t>
            </w:r>
            <w:r>
              <w:rPr>
                <w:rFonts w:hint="eastAsia"/>
                <w:szCs w:val="21"/>
                <w:u w:val="none"/>
              </w:rPr>
              <w:t>20</w:t>
            </w:r>
            <w:r>
              <w:rPr>
                <w:szCs w:val="21"/>
                <w:u w:val="none"/>
              </w:rPr>
              <w:t>20</w:t>
            </w:r>
            <w:r>
              <w:rPr>
                <w:rFonts w:hint="eastAsia"/>
                <w:szCs w:val="21"/>
                <w:u w:val="none"/>
              </w:rPr>
              <w:t>标准要求。管理体系的运行是适宜的、充分的、有效的。</w:t>
            </w:r>
          </w:p>
          <w:p>
            <w:pPr>
              <w:spacing w:line="360" w:lineRule="auto"/>
              <w:ind w:firstLine="480" w:firstLineChars="0"/>
              <w:jc w:val="left"/>
              <w:rPr>
                <w:rFonts w:hint="eastAsia" w:ascii="Times New Roman" w:hAnsi="Times New Roman" w:eastAsia="宋体" w:cs="Times New Roman"/>
                <w:kern w:val="2"/>
                <w:sz w:val="21"/>
                <w:szCs w:val="21"/>
                <w:u w:val="none"/>
                <w:lang w:val="en-US" w:eastAsia="zh-CN" w:bidi="ar-SA"/>
              </w:rPr>
            </w:pPr>
            <w:r>
              <w:rPr>
                <w:rFonts w:hint="eastAsia"/>
                <w:szCs w:val="21"/>
                <w:u w:val="none"/>
              </w:rPr>
              <w:t>查上述资料反映：能保留形成文件的信息，作为实施审核方案以及审核结果的证据。</w:t>
            </w:r>
          </w:p>
        </w:tc>
        <w:tc>
          <w:tcPr>
            <w:tcW w:w="1585"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u w:val="none"/>
              </w:rPr>
            </w:pPr>
            <w:r>
              <w:rPr>
                <w:rFonts w:hint="eastAsia" w:ascii="宋体" w:hAnsi="宋体" w:cs="Arial"/>
                <w:sz w:val="21"/>
                <w:szCs w:val="21"/>
              </w:rPr>
              <w:t>不符合/事件和纠正措施</w:t>
            </w:r>
          </w:p>
        </w:tc>
        <w:tc>
          <w:tcPr>
            <w:tcW w:w="998" w:type="dxa"/>
            <w:vAlign w:val="top"/>
          </w:tcPr>
          <w:p>
            <w:pPr>
              <w:spacing w:line="360" w:lineRule="auto"/>
              <w:rPr>
                <w:rFonts w:hint="eastAsia"/>
                <w:u w:val="none"/>
              </w:rPr>
            </w:pPr>
            <w:r>
              <w:rPr>
                <w:rFonts w:hint="eastAsia"/>
                <w:u w:val="none"/>
              </w:rPr>
              <w:t>QE</w:t>
            </w:r>
            <w:r>
              <w:rPr>
                <w:u w:val="none"/>
              </w:rPr>
              <w:t>O</w:t>
            </w:r>
            <w:r>
              <w:rPr>
                <w:rFonts w:hint="eastAsia"/>
                <w:u w:val="none"/>
                <w:lang w:val="en-US" w:eastAsia="zh-CN"/>
              </w:rPr>
              <w:t>10</w:t>
            </w:r>
            <w:r>
              <w:rPr>
                <w:rFonts w:hint="eastAsia"/>
                <w:u w:val="none"/>
              </w:rPr>
              <w:t>.</w:t>
            </w:r>
            <w:r>
              <w:rPr>
                <w:u w:val="none"/>
              </w:rPr>
              <w:t>2</w:t>
            </w:r>
          </w:p>
        </w:tc>
        <w:tc>
          <w:tcPr>
            <w:tcW w:w="10004" w:type="dxa"/>
            <w:vAlign w:val="center"/>
          </w:tcPr>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查：公司编制有</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不符合控制程序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《纠正措施控制程序》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预防措施控制程序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，规定了发现不合格应采取纠正措施的具体要求，并按要求进行了控制。</w:t>
            </w:r>
          </w:p>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抽查内审《不符合报告》，针对内审中发现的不合格事实，责任部门进行了原因分析，制定了纠正措施并实施，涉及</w:t>
            </w:r>
            <w:r>
              <w:rPr>
                <w:rFonts w:hint="eastAsia" w:cs="Times New Roman"/>
                <w:szCs w:val="21"/>
                <w:u w:val="none"/>
                <w:lang w:val="en-US" w:eastAsia="zh-CN"/>
              </w:rPr>
              <w:t>行政部</w:t>
            </w:r>
            <w:r>
              <w:rPr>
                <w:rFonts w:hint="eastAsia" w:ascii="Times New Roman" w:hAnsi="Times New Roman" w:eastAsia="宋体" w:cs="Times New Roman"/>
                <w:szCs w:val="21"/>
                <w:u w:val="none"/>
                <w:lang w:val="en-US" w:eastAsia="zh-CN"/>
              </w:rPr>
              <w:t>7.2条</w:t>
            </w:r>
            <w:r>
              <w:rPr>
                <w:rFonts w:hint="eastAsia" w:ascii="Times New Roman" w:hAnsi="Times New Roman" w:eastAsia="宋体" w:cs="Times New Roman"/>
                <w:szCs w:val="21"/>
                <w:u w:val="none"/>
              </w:rPr>
              <w:t>款的不符合项，经验证整改有效。</w:t>
            </w:r>
          </w:p>
          <w:p>
            <w:pPr>
              <w:spacing w:line="360" w:lineRule="auto"/>
              <w:ind w:firstLine="480" w:firstLineChars="0"/>
              <w:jc w:val="left"/>
              <w:rPr>
                <w:rFonts w:hint="eastAsia" w:ascii="Times New Roman" w:hAnsi="Times New Roman" w:eastAsia="宋体" w:cs="Times New Roman"/>
                <w:szCs w:val="21"/>
                <w:u w:val="none"/>
              </w:rPr>
            </w:pPr>
            <w:r>
              <w:rPr>
                <w:rFonts w:hint="eastAsia" w:ascii="Times New Roman" w:hAnsi="Times New Roman" w:eastAsia="宋体" w:cs="Times New Roman"/>
                <w:szCs w:val="21"/>
                <w:u w:val="none"/>
              </w:rPr>
              <w:t>体系运行的</w:t>
            </w:r>
            <w:r>
              <w:rPr>
                <w:rFonts w:hint="default" w:ascii="Times New Roman" w:hAnsi="Times New Roman" w:eastAsia="宋体" w:cs="Times New Roman"/>
                <w:szCs w:val="21"/>
                <w:u w:val="none"/>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vAlign w:val="top"/>
          </w:tcPr>
          <w:p>
            <w:pPr>
              <w:spacing w:line="360" w:lineRule="auto"/>
              <w:rPr>
                <w:rFonts w:hint="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E89A"/>
    <w:multiLevelType w:val="singleLevel"/>
    <w:tmpl w:val="0698E89A"/>
    <w:lvl w:ilvl="0" w:tentative="0">
      <w:start w:val="2"/>
      <w:numFmt w:val="decimal"/>
      <w:suff w:val="nothing"/>
      <w:lvlText w:val="%1、"/>
      <w:lvlJc w:val="left"/>
    </w:lvl>
  </w:abstractNum>
  <w:abstractNum w:abstractNumId="1">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4B03A25"/>
    <w:rsid w:val="056D41CE"/>
    <w:rsid w:val="0A755CD1"/>
    <w:rsid w:val="0C625E1B"/>
    <w:rsid w:val="0EC6526F"/>
    <w:rsid w:val="10CC15C0"/>
    <w:rsid w:val="113D29BF"/>
    <w:rsid w:val="11B844E6"/>
    <w:rsid w:val="129057E6"/>
    <w:rsid w:val="12FD2E93"/>
    <w:rsid w:val="158E45BA"/>
    <w:rsid w:val="163E2E11"/>
    <w:rsid w:val="1A822FA7"/>
    <w:rsid w:val="1B3936B3"/>
    <w:rsid w:val="1BE846E9"/>
    <w:rsid w:val="1DC40F3E"/>
    <w:rsid w:val="1E17525C"/>
    <w:rsid w:val="1EED5939"/>
    <w:rsid w:val="24EE4865"/>
    <w:rsid w:val="26EB66E8"/>
    <w:rsid w:val="2EBF1259"/>
    <w:rsid w:val="315A769F"/>
    <w:rsid w:val="328D0D90"/>
    <w:rsid w:val="332F6E2E"/>
    <w:rsid w:val="35655683"/>
    <w:rsid w:val="36106290"/>
    <w:rsid w:val="366131A6"/>
    <w:rsid w:val="36BE5965"/>
    <w:rsid w:val="37E42671"/>
    <w:rsid w:val="38CE76F2"/>
    <w:rsid w:val="38E44796"/>
    <w:rsid w:val="391D226E"/>
    <w:rsid w:val="39DF646A"/>
    <w:rsid w:val="3E676E01"/>
    <w:rsid w:val="3ED56DC4"/>
    <w:rsid w:val="3F1E1F7C"/>
    <w:rsid w:val="4074648A"/>
    <w:rsid w:val="418C5867"/>
    <w:rsid w:val="42684491"/>
    <w:rsid w:val="45060F3E"/>
    <w:rsid w:val="47432516"/>
    <w:rsid w:val="47AB2FC0"/>
    <w:rsid w:val="47D469F7"/>
    <w:rsid w:val="48012986"/>
    <w:rsid w:val="4913714F"/>
    <w:rsid w:val="4A95487A"/>
    <w:rsid w:val="4C7E4A49"/>
    <w:rsid w:val="4DED56EF"/>
    <w:rsid w:val="4EF0704D"/>
    <w:rsid w:val="4F3B0425"/>
    <w:rsid w:val="51816C5F"/>
    <w:rsid w:val="5493123C"/>
    <w:rsid w:val="5E8414C5"/>
    <w:rsid w:val="62E8549C"/>
    <w:rsid w:val="639A03A2"/>
    <w:rsid w:val="67500C85"/>
    <w:rsid w:val="689D56E8"/>
    <w:rsid w:val="690E7415"/>
    <w:rsid w:val="693E7AF0"/>
    <w:rsid w:val="69F51D33"/>
    <w:rsid w:val="6DC57443"/>
    <w:rsid w:val="6E3312F4"/>
    <w:rsid w:val="6EA44CFD"/>
    <w:rsid w:val="6FC67861"/>
    <w:rsid w:val="723164F6"/>
    <w:rsid w:val="729B5296"/>
    <w:rsid w:val="72DA6CFE"/>
    <w:rsid w:val="73371E1F"/>
    <w:rsid w:val="7367290E"/>
    <w:rsid w:val="73C01D14"/>
    <w:rsid w:val="747D06DB"/>
    <w:rsid w:val="752D00F5"/>
    <w:rsid w:val="76B43CA8"/>
    <w:rsid w:val="789B5077"/>
    <w:rsid w:val="7A172C96"/>
    <w:rsid w:val="7A3F072B"/>
    <w:rsid w:val="7A695463"/>
    <w:rsid w:val="7AD237C2"/>
    <w:rsid w:val="7BC807EB"/>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7</TotalTime>
  <ScaleCrop>false</ScaleCrop>
  <LinksUpToDate>false</LinksUpToDate>
  <CharactersWithSpaces>5211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LIL</cp:lastModifiedBy>
  <dcterms:modified xsi:type="dcterms:W3CDTF">2021-01-25T05:28:17Z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