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、"/>
            <w:bookmarkStart w:id="4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成都脉通管业有限公司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张茂华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firstLine="422" w:firstLineChars="200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 w:bidi="ar"/>
              </w:rPr>
              <w:t>不符合事实：未能提供本年度企业对生产员工的健康体检记录。不符合GB/T45001-2020标准9.1.1条款：“组织应建立，实施并保持程序，对职业健康安全绩效进行例行监视和测量。程序应规定：被动性绩效测量，即监视健康损害，事件（包括事故，“未遂事故”等）和其他不良职业健康安全绩效的历史证据”的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6" w:name="_GoBack"/>
            <w:bookmarkEnd w:id="6"/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6D1D7C"/>
    <w:rsid w:val="6D5E4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2021-01-19T07:34:53Z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