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default" w:ascii="Times New Roman" w:hAnsi="Times New Roman" w:cs="Times New Roman" w:eastAsiaTheme="minorEastAsia"/>
          <w:sz w:val="20"/>
          <w:szCs w:val="28"/>
          <w:lang w:val="en-US" w:eastAsia="zh-CN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名称"/>
      <w:r>
        <w:rPr>
          <w:rFonts w:ascii="Times New Roman" w:hAnsi="Times New Roman" w:cs="Times New Roman"/>
          <w:sz w:val="20"/>
          <w:szCs w:val="28"/>
          <w:u w:val="single"/>
        </w:rPr>
        <w:t>0</w:t>
      </w:r>
      <w:r>
        <w:rPr>
          <w:rFonts w:hint="eastAsia" w:ascii="Times New Roman" w:hAnsi="Times New Roman" w:cs="Times New Roman"/>
          <w:sz w:val="20"/>
          <w:szCs w:val="28"/>
          <w:u w:val="single"/>
          <w:lang w:val="en-US" w:eastAsia="zh-CN"/>
        </w:rPr>
        <w:t>237</w:t>
      </w:r>
      <w:r>
        <w:rPr>
          <w:rFonts w:hint="eastAsia" w:ascii="Times New Roman" w:hAnsi="Times New Roman" w:cs="Times New Roman"/>
          <w:sz w:val="20"/>
          <w:szCs w:val="28"/>
          <w:u w:val="single"/>
        </w:rPr>
        <w:t>-201</w:t>
      </w:r>
      <w:r>
        <w:rPr>
          <w:rFonts w:hint="eastAsia" w:ascii="Times New Roman" w:hAnsi="Times New Roman" w:cs="Times New Roman"/>
          <w:sz w:val="20"/>
          <w:szCs w:val="28"/>
          <w:u w:val="single"/>
          <w:lang w:val="en-US" w:eastAsia="zh-CN"/>
        </w:rPr>
        <w:t>9</w:t>
      </w:r>
      <w:r>
        <w:rPr>
          <w:rFonts w:ascii="Times New Roman" w:hAnsi="Times New Roman" w:cs="Times New Roman"/>
          <w:sz w:val="20"/>
          <w:szCs w:val="28"/>
          <w:u w:val="single"/>
        </w:rPr>
        <w:t>-20</w:t>
      </w:r>
      <w:bookmarkEnd w:id="0"/>
      <w:r>
        <w:rPr>
          <w:rFonts w:hint="eastAsia" w:ascii="Times New Roman" w:hAnsi="Times New Roman" w:cs="Times New Roman"/>
          <w:sz w:val="20"/>
          <w:szCs w:val="28"/>
          <w:u w:val="single"/>
          <w:lang w:val="en-US" w:eastAsia="zh-CN"/>
        </w:rPr>
        <w:t>21</w:t>
      </w:r>
    </w:p>
    <w:tbl>
      <w:tblPr>
        <w:tblStyle w:val="6"/>
        <w:tblpPr w:leftFromText="180" w:rightFromText="180" w:vertAnchor="text" w:horzAnchor="margin" w:tblpXSpec="center" w:tblpY="1220"/>
        <w:tblW w:w="11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992"/>
        <w:gridCol w:w="1133"/>
        <w:gridCol w:w="1133"/>
        <w:gridCol w:w="1275"/>
        <w:gridCol w:w="1275"/>
        <w:gridCol w:w="1562"/>
        <w:gridCol w:w="1276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5808" w:type="dxa"/>
            <w:gridSpan w:val="5"/>
            <w:vAlign w:val="center"/>
          </w:tcPr>
          <w:p>
            <w:pPr>
              <w:rPr>
                <w:szCs w:val="21"/>
              </w:rPr>
            </w:pPr>
            <w:bookmarkStart w:id="1" w:name="组织名称"/>
            <w:r>
              <w:rPr>
                <w:szCs w:val="21"/>
              </w:rPr>
              <w:t>天津锦源机械制造有限公司</w:t>
            </w:r>
            <w:bookmarkEnd w:id="1"/>
          </w:p>
        </w:tc>
        <w:tc>
          <w:tcPr>
            <w:tcW w:w="1562" w:type="dxa"/>
            <w:vAlign w:val="center"/>
          </w:tcPr>
          <w:p>
            <w:pPr>
              <w:ind w:firstLine="105" w:firstLineChars="50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</w:t>
            </w:r>
          </w:p>
        </w:tc>
        <w:tc>
          <w:tcPr>
            <w:tcW w:w="258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王玉玲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部门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测量设备名称</w:t>
            </w:r>
          </w:p>
        </w:tc>
        <w:tc>
          <w:tcPr>
            <w:tcW w:w="1133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测量设备编号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规格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测量设备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准确度等级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测量标准置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准确度等级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检定/校准机构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检定/校准日期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符</w:t>
            </w:r>
            <w:r>
              <w:rPr>
                <w:rFonts w:hint="eastAsia"/>
                <w:szCs w:val="21"/>
              </w:rPr>
              <w:t>合打</w:t>
            </w:r>
            <w:r>
              <w:rPr>
                <w:rFonts w:hint="eastAsia" w:ascii="宋体" w:hAnsi="宋体"/>
                <w:szCs w:val="21"/>
              </w:rPr>
              <w:t>√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合打</w:t>
            </w:r>
            <w:r>
              <w:rPr>
                <w:rFonts w:ascii="Times New Roman" w:hAnsi="Times New Roman" w:cs="Times New Roman"/>
                <w:szCs w:val="21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  <w:t>质检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 xml:space="preserve">部  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外径千分尺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50-75-03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0～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75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±0.0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 xml:space="preserve"> 量块：4等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渤海石油装备（天津）新世纪机械制造公司计量检定站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2020.9.27</w:t>
            </w:r>
          </w:p>
        </w:tc>
        <w:tc>
          <w:tcPr>
            <w:tcW w:w="131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  <w:t>质检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部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压力表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  <w:t>2003040123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0～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60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1.6级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标准压力表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0.04级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中国石油大港油田公司中心计量检定站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2020.9.30</w:t>
            </w:r>
          </w:p>
        </w:tc>
        <w:tc>
          <w:tcPr>
            <w:tcW w:w="131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  <w:t>质检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部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百分表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JY0-10-01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～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±0.0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百分表检定仪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um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渤海石油装备（天津）新世纪机械制造公司计量检定站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2020.8.15</w:t>
            </w:r>
          </w:p>
        </w:tc>
        <w:tc>
          <w:tcPr>
            <w:tcW w:w="131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  <w:t>质检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部</w:t>
            </w:r>
          </w:p>
        </w:tc>
        <w:tc>
          <w:tcPr>
            <w:tcW w:w="99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氏硬度计</w:t>
            </w:r>
          </w:p>
        </w:tc>
        <w:tc>
          <w:tcPr>
            <w:tcW w:w="1133" w:type="dxa"/>
            <w:vAlign w:val="center"/>
          </w:tcPr>
          <w:p>
            <w:pPr>
              <w:ind w:firstLine="75" w:firstLineChars="50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078062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HL200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napToGrid w:val="0"/>
                <w:w w:val="100"/>
                <w:kern w:val="0"/>
                <w:sz w:val="15"/>
                <w:szCs w:val="15"/>
                <w:lang w:val="en-US" w:eastAsia="zh-CN"/>
              </w:rPr>
              <w:t>12HL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里氏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硬度块：</w:t>
            </w:r>
          </w:p>
          <w:p>
            <w:pPr>
              <w:ind w:firstLine="75" w:firstLineChars="50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≦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5HLD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天津市计量监督检测科学研究院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2020.5.7</w:t>
            </w:r>
          </w:p>
        </w:tc>
        <w:tc>
          <w:tcPr>
            <w:tcW w:w="131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  <w:t>质检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部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万能角度尺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4-1210115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～320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eastAsia="zh-CN"/>
              </w:rPr>
              <w:t>°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w w:val="100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</w:t>
            </w:r>
            <w:r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′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角度块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1级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渤海石油装备（天津）新世纪机械制造公司计量检定站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2020.12.06</w:t>
            </w:r>
          </w:p>
        </w:tc>
        <w:tc>
          <w:tcPr>
            <w:tcW w:w="131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  <w:t>质检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部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游标卡尺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  <w:t>JY0-150-02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0～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150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w w:val="100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±0.0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 xml:space="preserve"> 量块：4等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渤海石油装备（天津）新世纪机械制造公司计量检定站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2020.9.27</w:t>
            </w:r>
          </w:p>
        </w:tc>
        <w:tc>
          <w:tcPr>
            <w:tcW w:w="131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质检部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外径千分尺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  <w:t>JY25-50-03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25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～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w w:val="100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±0.01mm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 xml:space="preserve"> 量块：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等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渤海石油装备（天津）新世纪机械制造公司计量检定站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2020.9.27</w:t>
            </w:r>
          </w:p>
        </w:tc>
        <w:tc>
          <w:tcPr>
            <w:tcW w:w="131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审核综合意見：</w:t>
            </w:r>
          </w:p>
          <w:p>
            <w:pPr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公司已制定《计量确认间隔管理控制程序》、《外部供方管理控制程序》，《量值溯源管理控制程序》，测量设备由质检部负责溯源。公司测量设备除自检外全部委托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渤海石油装备（天津）新世纪机械制造公司计量检定站,天津市计量监督检测科学研究院,中国石油大港油田公司中心计量检定站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检定/校准，校准/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检定证书由质检部保存。根据抽查情况，该公司的校准情况符合溯源性要求。</w:t>
            </w:r>
          </w:p>
          <w:p>
            <w:pPr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日期：   </w:t>
            </w:r>
            <w:bookmarkStart w:id="2" w:name="审核日期安排"/>
            <w:r>
              <w:rPr>
                <w:rFonts w:hint="eastAsia" w:ascii="Times New Roman" w:hAnsi="Times New Roman" w:eastAsia="宋体" w:cs="Times New Roman"/>
                <w:szCs w:val="21"/>
              </w:rPr>
              <w:t>2021年03月02日 上午至2021年03月02日 下午 (共1.0天)</w:t>
            </w:r>
            <w:bookmarkEnd w:id="2"/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员签字： </w:t>
            </w:r>
            <w:r>
              <w:rPr>
                <w:rFonts w:hint="eastAsia"/>
              </w:rPr>
              <w:drawing>
                <wp:inline distT="0" distB="0" distL="114300" distR="114300">
                  <wp:extent cx="461645" cy="217805"/>
                  <wp:effectExtent l="0" t="0" r="8255" b="10795"/>
                  <wp:docPr id="2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21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                            部门代表签字：</w:t>
            </w:r>
            <w:r>
              <w:rPr>
                <w:rFonts w:hint="eastAsia"/>
                <w:b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916940" cy="379730"/>
                  <wp:effectExtent l="0" t="0" r="10160" b="1270"/>
                  <wp:docPr id="28" name="图片 28" descr="835d23f07ce66b20e585264d39c9d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35d23f07ce66b20e585264d39c9d5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15073" t="41993" r="74373" b="54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bookmarkEnd w:id="3"/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>
      <w:pPr>
        <w:spacing w:before="240" w:after="240"/>
        <w:ind w:firstLine="2951" w:firstLineChars="105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</w:rPr>
        <w:t>抽查</w:t>
      </w: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>表</w:t>
      </w:r>
    </w:p>
    <w:sectPr>
      <w:headerReference r:id="rId3" w:type="default"/>
      <w:footerReference r:id="rId4" w:type="default"/>
      <w:pgSz w:w="11906" w:h="16838"/>
      <w:pgMar w:top="1135" w:right="1266" w:bottom="1440" w:left="11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5pt;margin-top:-0.4pt;height:20.6pt;width:215.8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06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shape id="直接连接符 3" o:spid="_x0000_s2050" o:spt="32" type="#_x0000_t32" style="position:absolute;left:0pt;margin-left:-0.45pt;margin-top:3pt;height:0pt;width:478pt;z-index:251659264;mso-width-relative:page;mso-height-relative:page;" filled="f" coordsize="21600,21600">
          <v:path arrowok="t"/>
          <v:fill on="f" focussize="0,0"/>
          <v:stroke/>
          <v:imagedata o:title=""/>
          <o:lock v:ext="edit"/>
        </v:shape>
      </w:pict>
    </w: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直接连接符 3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6E683D3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字符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53</Words>
  <Characters>306</Characters>
  <Lines>2</Lines>
  <Paragraphs>1</Paragraphs>
  <TotalTime>0</TotalTime>
  <ScaleCrop>false</ScaleCrop>
  <LinksUpToDate>false</LinksUpToDate>
  <CharactersWithSpaces>358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A樱洁</cp:lastModifiedBy>
  <dcterms:modified xsi:type="dcterms:W3CDTF">2021-03-02T05:20:24Z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