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0251-2019-2021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宁波市昕伊达能源设备制造有限公司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品质部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应旭宝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  <w:vAlign w:val="top"/>
          </w:tcPr>
          <w:p>
            <w:pPr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jc w:val="both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查：品质</w:t>
            </w:r>
            <w:r>
              <w:rPr>
                <w:rFonts w:hint="eastAsia" w:ascii="宋体" w:hAnsi="宋体"/>
                <w:szCs w:val="21"/>
                <w:u w:val="none"/>
              </w:rPr>
              <w:t>部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未对直读光谱仪配套使用的“合金钢</w:t>
            </w:r>
            <w:r>
              <w:rPr>
                <w:rFonts w:hint="eastAsia" w:ascii="宋体" w:hAnsi="宋体"/>
                <w:szCs w:val="21"/>
                <w:u w:val="none"/>
              </w:rPr>
              <w:t>成分分析标准物质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”列入台账，控制管理。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u w:val="none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GB/T19022-2003 6.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3562350</wp:posOffset>
                  </wp:positionH>
                  <wp:positionV relativeFrom="paragraph">
                    <wp:posOffset>41910</wp:posOffset>
                  </wp:positionV>
                  <wp:extent cx="896620" cy="397510"/>
                  <wp:effectExtent l="0" t="0" r="17780" b="2540"/>
                  <wp:wrapNone/>
                  <wp:docPr id="8" name="图片 2" descr="小老板签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小老板签字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contrast="2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20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page">
                    <wp:posOffset>907415</wp:posOffset>
                  </wp:positionH>
                  <wp:positionV relativeFrom="paragraph">
                    <wp:posOffset>94615</wp:posOffset>
                  </wp:positionV>
                  <wp:extent cx="601345" cy="407670"/>
                  <wp:effectExtent l="0" t="0" r="8255" b="11430"/>
                  <wp:wrapNone/>
                  <wp:docPr id="5" name="图片 5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kern w:val="0"/>
                <w:szCs w:val="21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1387475</wp:posOffset>
                  </wp:positionH>
                  <wp:positionV relativeFrom="paragraph">
                    <wp:posOffset>36195</wp:posOffset>
                  </wp:positionV>
                  <wp:extent cx="814070" cy="380365"/>
                  <wp:effectExtent l="0" t="0" r="0" b="635"/>
                  <wp:wrapNone/>
                  <wp:docPr id="10" name="图片 3" descr="朱慧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 descr="朱慧叶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8793" t="49686" r="25778" b="36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07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</w:p>
          <w:p>
            <w:pPr>
              <w:widowControl/>
              <w:spacing w:line="360" w:lineRule="auto"/>
              <w:ind w:firstLine="6482" w:firstLineChars="30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2021.01.15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根据测量管理体系对标准物质管理要求，编制“标准物质管理台账”，将“合金钢</w:t>
            </w:r>
            <w:r>
              <w:rPr>
                <w:rFonts w:hint="eastAsia" w:ascii="宋体" w:hAnsi="宋体"/>
                <w:szCs w:val="21"/>
                <w:u w:val="none"/>
              </w:rPr>
              <w:t>成分分析标准物质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”登记入账，进行管理。并举一反三检查公司所有使用的标准物质列入台账，控制管理。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drawing>
                <wp:anchor distT="0" distB="0" distL="114300" distR="114300" simplePos="0" relativeHeight="251759616" behindDoc="1" locked="0" layoutInCell="1" allowOverlap="1">
                  <wp:simplePos x="0" y="0"/>
                  <wp:positionH relativeFrom="column">
                    <wp:posOffset>1149350</wp:posOffset>
                  </wp:positionH>
                  <wp:positionV relativeFrom="paragraph">
                    <wp:posOffset>174625</wp:posOffset>
                  </wp:positionV>
                  <wp:extent cx="814070" cy="380365"/>
                  <wp:effectExtent l="0" t="0" r="0" b="635"/>
                  <wp:wrapNone/>
                  <wp:docPr id="11" name="图片 3" descr="朱慧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朱慧叶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8793" t="49686" r="25778" b="36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07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page">
                    <wp:posOffset>4270375</wp:posOffset>
                  </wp:positionH>
                  <wp:positionV relativeFrom="paragraph">
                    <wp:posOffset>157480</wp:posOffset>
                  </wp:positionV>
                  <wp:extent cx="667385" cy="452755"/>
                  <wp:effectExtent l="0" t="0" r="18415" b="4445"/>
                  <wp:wrapNone/>
                  <wp:docPr id="6" name="图片 6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  <w:tblCellSpacing w:w="0" w:type="dxa"/>
        </w:trPr>
        <w:tc>
          <w:tcPr>
            <w:tcW w:w="9180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同意以上整改措施。   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公司已于2021年1月 18日完成整改，同意关闭不符合项。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page">
                    <wp:posOffset>1021715</wp:posOffset>
                  </wp:positionH>
                  <wp:positionV relativeFrom="paragraph">
                    <wp:posOffset>275590</wp:posOffset>
                  </wp:positionV>
                  <wp:extent cx="629285" cy="426720"/>
                  <wp:effectExtent l="0" t="0" r="18415" b="11430"/>
                  <wp:wrapNone/>
                  <wp:docPr id="7" name="图片 7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2021.01.18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8E6815"/>
    <w:rsid w:val="0DCA0C7C"/>
    <w:rsid w:val="32F756B3"/>
    <w:rsid w:val="54D353C3"/>
    <w:rsid w:val="5C647972"/>
    <w:rsid w:val="6D5E3D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4</TotalTime>
  <ScaleCrop>false</ScaleCrop>
  <LinksUpToDate>false</LinksUpToDate>
  <CharactersWithSpaces>333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常宁</cp:lastModifiedBy>
  <dcterms:modified xsi:type="dcterms:W3CDTF">2021-01-15T05:11:52Z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