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北京资通汇鑫企业管理咨询有限公司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Q:35.10.00,35.11.00</w:t>
            </w:r>
          </w:p>
          <w:p>
            <w:pPr>
              <w:spacing w:line="240" w:lineRule="exact"/>
              <w:jc w:val="center"/>
              <w:rPr>
                <w:b/>
                <w:color w:val="000000" w:themeColor="text1"/>
                <w:sz w:val="20"/>
                <w:szCs w:val="20"/>
              </w:rPr>
            </w:pPr>
            <w:r>
              <w:rPr>
                <w:b/>
                <w:color w:val="000000" w:themeColor="text1"/>
                <w:sz w:val="20"/>
                <w:szCs w:val="20"/>
              </w:rPr>
              <w:t>E:35.10.00,35.11.00</w:t>
            </w:r>
          </w:p>
          <w:p>
            <w:pPr>
              <w:spacing w:line="240" w:lineRule="exact"/>
              <w:jc w:val="center"/>
              <w:rPr>
                <w:b/>
                <w:color w:val="000000" w:themeColor="text1"/>
                <w:sz w:val="20"/>
                <w:szCs w:val="20"/>
              </w:rPr>
            </w:pPr>
            <w:r>
              <w:rPr>
                <w:b/>
                <w:color w:val="000000" w:themeColor="text1"/>
                <w:sz w:val="20"/>
                <w:szCs w:val="20"/>
              </w:rPr>
              <w:t>O:35.10.00,35.11.00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曲丽娜</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冯雪峥</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北京资通汇鑫企业管理咨询有限公司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北京市大兴区黄村镇富强路北侧2幢2层2-5号201室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102600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北京市大兴区黄村镇富强路北侧2幢2层2-5号201室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102600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杨丹</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15110191165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杨国明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董磊</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Q：许可范围内劳务派遣、人力资源</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E：许可范围内劳务派遣、人力资源所涉及场所的相关环境管理活动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O：许可范围内劳务派遣、人力资源所涉及场所的相关职业健康安全管理活动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Q：35.10.00;35.11.00</w:t>
            </w:r>
          </w:p>
          <w:p>
            <w:pPr>
              <w:spacing w:line="320" w:lineRule="exact"/>
              <w:rPr>
                <w:rFonts w:ascii="宋体" w:hAnsi="宋体"/>
                <w:b/>
                <w:color w:val="000000" w:themeColor="text1"/>
                <w:sz w:val="20"/>
                <w:szCs w:val="20"/>
              </w:rPr>
            </w:pPr>
            <w:r>
              <w:rPr>
                <w:rFonts w:ascii="宋体" w:hAnsi="宋体"/>
                <w:b/>
                <w:color w:val="000000" w:themeColor="text1"/>
                <w:sz w:val="20"/>
                <w:szCs w:val="20"/>
              </w:rPr>
              <w:t>E：35.10.00;35.11.00</w:t>
            </w:r>
          </w:p>
          <w:p>
            <w:pPr>
              <w:spacing w:line="320" w:lineRule="exact"/>
              <w:rPr>
                <w:rFonts w:ascii="宋体" w:hAnsi="宋体"/>
                <w:b/>
                <w:color w:val="000000" w:themeColor="text1"/>
                <w:sz w:val="20"/>
                <w:szCs w:val="20"/>
              </w:rPr>
            </w:pPr>
            <w:r>
              <w:rPr>
                <w:rFonts w:ascii="宋体" w:hAnsi="宋体"/>
                <w:b/>
                <w:color w:val="000000" w:themeColor="text1"/>
                <w:sz w:val="20"/>
                <w:szCs w:val="20"/>
              </w:rPr>
              <w:t>O：35.10.00;35.11.00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w:t>
            </w:r>
            <w:r>
              <w:rPr>
                <w:rFonts w:hint="eastAsia" w:ascii="宋体" w:hAnsi="宋体"/>
                <w:b/>
                <w:color w:val="000000" w:themeColor="text1"/>
                <w:sz w:val="20"/>
                <w:szCs w:val="20"/>
                <w:lang w:val="en-US" w:eastAsia="zh-CN"/>
              </w:rPr>
              <w:t>8</w:t>
            </w:r>
            <w:r>
              <w:rPr>
                <w:rFonts w:ascii="宋体" w:hAnsi="宋体"/>
                <w:b/>
                <w:color w:val="000000" w:themeColor="text1"/>
                <w:sz w:val="20"/>
                <w:szCs w:val="20"/>
              </w:rPr>
              <w:t>-</w:t>
            </w:r>
            <w:r>
              <w:rPr>
                <w:rFonts w:hint="eastAsia" w:ascii="宋体" w:hAnsi="宋体"/>
                <w:b/>
                <w:color w:val="000000" w:themeColor="text1"/>
                <w:sz w:val="20"/>
                <w:szCs w:val="20"/>
                <w:lang w:val="en-US" w:eastAsia="zh-CN"/>
              </w:rPr>
              <w:t>30</w:t>
            </w:r>
            <w:r>
              <w:rPr>
                <w:rFonts w:ascii="宋体" w:hAnsi="宋体"/>
                <w:b/>
                <w:color w:val="000000" w:themeColor="text1"/>
                <w:sz w:val="20"/>
                <w:szCs w:val="20"/>
              </w:rPr>
              <w:t xml:space="preserve">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管理层</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/9.1</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综合部</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7.1.3/</w:t>
            </w:r>
            <w:r>
              <w:rPr>
                <w:rFonts w:hint="default" w:ascii="Times New Roman" w:hAnsi="Times New Roman" w:eastAsia="宋体" w:cs="Times New Roman"/>
                <w:sz w:val="21"/>
                <w:szCs w:val="21"/>
              </w:rPr>
              <w:t>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7.2/7.3/7.4/7.5</w:t>
            </w:r>
            <w:r>
              <w:rPr>
                <w:rFonts w:hint="eastAsia" w:ascii="Times New Roman" w:hAnsi="Times New Roman" w:cs="Times New Roman"/>
                <w:sz w:val="21"/>
                <w:szCs w:val="21"/>
                <w:lang w:val="en-US" w:eastAsia="zh-CN"/>
              </w:rPr>
              <w:t>/8.4/9.1.1/9.1.3/</w:t>
            </w:r>
            <w:r>
              <w:rPr>
                <w:rFonts w:hint="default" w:ascii="Times New Roman" w:hAnsi="Times New Roman" w:eastAsia="宋体" w:cs="Times New Roman"/>
                <w:sz w:val="21"/>
                <w:szCs w:val="21"/>
              </w:rPr>
              <w:t>9.</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eastAsia" w:cs="Times New Roman"/>
                <w:sz w:val="21"/>
                <w:szCs w:val="21"/>
                <w:lang w:val="en-US" w:eastAsia="zh-CN"/>
              </w:rPr>
              <w:t>10.2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cs="Times New Roman"/>
                <w:sz w:val="21"/>
                <w:szCs w:val="21"/>
                <w:lang w:val="en-US" w:eastAsia="zh-CN"/>
              </w:rPr>
              <w:t>6.1.3/</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7.5/8.1/8.2/9.1/9.2/10.2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业务部</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Q5.3/6.2/7.1.5/8.1/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8.5</w:t>
            </w:r>
            <w:r>
              <w:rPr>
                <w:rFonts w:hint="eastAsia" w:cs="Times New Roman"/>
                <w:sz w:val="21"/>
                <w:szCs w:val="21"/>
                <w:lang w:val="en-US" w:eastAsia="zh-CN"/>
              </w:rPr>
              <w:t>/8.6/8.7/</w:t>
            </w:r>
            <w:r>
              <w:rPr>
                <w:rFonts w:hint="default" w:ascii="Times New Roman" w:hAnsi="Times New Roman" w:eastAsia="宋体" w:cs="Times New Roman"/>
                <w:sz w:val="21"/>
                <w:szCs w:val="21"/>
              </w:rPr>
              <w:t>9.1.2</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许可范围内劳务派遣、人力资源</w:t>
            </w:r>
          </w:p>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Times New Roman" w:hAnsi="Times New Roman" w:eastAsia="宋体"/>
                <w:kern w:val="2"/>
                <w:sz w:val="21"/>
                <w:szCs w:val="22"/>
                <w:lang w:val="en-US" w:eastAsia="zh-CN"/>
              </w:rPr>
              <w:t>T/XNHRSIA 002-2018 劳务派遣服务标准</w:t>
            </w:r>
            <w:r>
              <w:rPr>
                <w:rFonts w:hint="eastAsia"/>
                <w:kern w:val="2"/>
                <w:sz w:val="21"/>
                <w:szCs w:val="22"/>
                <w:lang w:val="en-US" w:eastAsia="zh-CN"/>
              </w:rPr>
              <w:t>、</w:t>
            </w:r>
            <w:r>
              <w:rPr>
                <w:rFonts w:hint="eastAsia" w:ascii="Times New Roman" w:hAnsi="Times New Roman" w:eastAsia="宋体"/>
                <w:kern w:val="2"/>
                <w:sz w:val="21"/>
                <w:szCs w:val="22"/>
                <w:lang w:val="en-US" w:eastAsia="zh-CN"/>
              </w:rPr>
              <w:t>DB13/T 3008.12-2018 人力资源服务规范 第12部分：劳务派遣</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bookmarkStart w:id="20" w:name="OLE_LINK1"/>
      <w:r>
        <w:rPr>
          <w:rFonts w:hint="eastAsia"/>
          <w:b/>
          <w:color w:val="000000" w:themeColor="text1"/>
          <w:spacing w:val="-10"/>
          <w:szCs w:val="21"/>
          <w:lang w:val="en-US" w:eastAsia="zh-CN"/>
        </w:rPr>
        <w:t>2020年8月30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rFonts w:hint="eastAsia"/>
                <w:b/>
                <w:color w:val="000000" w:themeColor="text1"/>
                <w:sz w:val="20"/>
                <w:szCs w:val="20"/>
                <w:lang w:val="en-US" w:eastAsia="zh-CN"/>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相关方需求和期望识别情况</w:t>
            </w:r>
          </w:p>
          <w:p>
            <w:pPr>
              <w:numPr>
                <w:ilvl w:val="0"/>
                <w:numId w:val="0"/>
              </w:numPr>
              <w:spacing w:line="240" w:lineRule="exact"/>
              <w:rPr>
                <w:b/>
                <w:color w:val="000000" w:themeColor="text1"/>
                <w:sz w:val="20"/>
                <w:szCs w:val="20"/>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lang w:val="en-US" w:eastAsia="zh-CN"/>
              </w:rPr>
              <w:t>环境安全</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rFonts w:hint="eastAsia"/>
                <w:b/>
                <w:color w:val="000000" w:themeColor="text1"/>
                <w:spacing w:val="-10"/>
                <w:sz w:val="20"/>
                <w:szCs w:val="20"/>
                <w:lang w:val="en-US" w:eastAsia="zh-CN"/>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beforeLines="30" w:afterLines="30"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公司的质量、环境、职业健康安全方针：</w:t>
            </w:r>
          </w:p>
          <w:p>
            <w:pPr>
              <w:autoSpaceDE w:val="0"/>
              <w:autoSpaceDN w:val="0"/>
              <w:adjustRightInd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守法诚信追求质量，预防污染保护环境；</w:t>
            </w:r>
          </w:p>
          <w:p>
            <w:pPr>
              <w:autoSpaceDE w:val="0"/>
              <w:autoSpaceDN w:val="0"/>
              <w:adjustRightInd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关爱员工健康安全，持续改进追求卓越。</w:t>
            </w:r>
          </w:p>
          <w:p>
            <w:pPr>
              <w:spacing w:beforeLines="30" w:afterLines="30" w:line="240" w:lineRule="auto"/>
              <w:rPr>
                <w:rFonts w:hint="eastAsia" w:ascii="宋体" w:hAnsi="宋体" w:eastAsia="宋体" w:cs="宋体"/>
                <w:sz w:val="21"/>
                <w:szCs w:val="21"/>
              </w:rPr>
            </w:pPr>
            <w:r>
              <w:rPr>
                <w:rFonts w:hint="eastAsia" w:ascii="宋体" w:hAnsi="宋体" w:eastAsia="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240" w:lineRule="exact"/>
              <w:rPr>
                <w:b/>
                <w:color w:val="000000" w:themeColor="text1"/>
              </w:rPr>
            </w:pPr>
            <w:r>
              <w:rPr>
                <w:rFonts w:hint="eastAsia" w:ascii="宋体" w:hAnsi="宋体" w:eastAsia="宋体" w:cs="宋体"/>
                <w:sz w:val="21"/>
                <w:szCs w:val="21"/>
              </w:rPr>
              <w:t>经查，质量、环境、职业健康安全管理方针没有变化</w:t>
            </w:r>
            <w:r>
              <w:rPr>
                <w:rFonts w:hint="eastAsia" w:ascii="宋体" w:hAnsi="宋体" w:eastAsia="宋体" w:cs="宋体"/>
                <w:sz w:val="21"/>
                <w:szCs w:val="21"/>
                <w:lang w:eastAsia="zh-CN"/>
              </w:rPr>
              <w:t>，且适应组织的宗旨和环境</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240" w:lineRule="exact"/>
              <w:ind w:leftChars="0"/>
              <w:rPr>
                <w:b/>
                <w:color w:val="000000" w:themeColor="text1"/>
              </w:rPr>
            </w:pPr>
            <w:r>
              <w:rPr>
                <w:rFonts w:hint="eastAsia"/>
              </w:rPr>
              <w:t>公司</w:t>
            </w:r>
            <w:r>
              <w:rPr>
                <w:rFonts w:hint="eastAsia"/>
                <w:lang w:val="en-US" w:eastAsia="zh-CN"/>
              </w:rPr>
              <w:t>编制</w:t>
            </w:r>
            <w:r>
              <w:rPr>
                <w:rFonts w:hint="eastAsia"/>
              </w:rPr>
              <w:t>《</w:t>
            </w:r>
            <w:r>
              <w:rPr>
                <w:rFonts w:hint="eastAsia" w:ascii="宋体" w:hAnsi="宋体"/>
                <w:kern w:val="0"/>
                <w:szCs w:val="21"/>
                <w:lang w:val="en-US" w:eastAsia="zh-CN"/>
              </w:rPr>
              <w:t>风险分析及应对措施</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w:t>
            </w:r>
            <w:r>
              <w:rPr>
                <w:rFonts w:hint="eastAsia"/>
                <w:lang w:eastAsia="zh-CN"/>
              </w:rPr>
              <w:t>针对顾客需求的变更</w:t>
            </w:r>
            <w:r>
              <w:rPr>
                <w:rFonts w:hint="eastAsia"/>
              </w:rPr>
              <w:t>，由</w:t>
            </w:r>
            <w:r>
              <w:rPr>
                <w:rFonts w:hint="eastAsia"/>
                <w:lang w:val="en-US" w:eastAsia="zh-CN"/>
              </w:rPr>
              <w:t>业务</w:t>
            </w:r>
            <w:r>
              <w:rPr>
                <w:rFonts w:hint="eastAsia"/>
                <w:lang w:eastAsia="zh-CN"/>
              </w:rPr>
              <w:t>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rFonts w:hint="eastAsia"/>
                <w:b/>
                <w:color w:val="000000" w:themeColor="text1"/>
                <w:sz w:val="20"/>
                <w:szCs w:val="20"/>
                <w:lang w:eastAsia="zh-CN"/>
              </w:rPr>
              <w:t>、</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采购</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劳务派遣过程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eastAsia="宋体"/>
                <w:szCs w:val="22"/>
                <w:lang w:val="en-US" w:eastAsia="zh-CN"/>
              </w:rPr>
              <w:t>因公司所提供的服务，按照国家标准及顾客的要求进行</w:t>
            </w:r>
            <w:r>
              <w:rPr>
                <w:rFonts w:hint="eastAsia" w:eastAsia="宋体"/>
                <w:szCs w:val="22"/>
                <w:u w:val="single"/>
                <w:lang w:val="en-US" w:eastAsia="zh-CN"/>
              </w:rPr>
              <w:t>，该条款的不适用,不影响组织确保其服务合格的能力和责任，也不会对增强顾客满意产生影响。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6</w:t>
            </w:r>
            <w:r>
              <w:rPr>
                <w:rFonts w:hint="eastAsia"/>
                <w:b/>
                <w:color w:val="000000" w:themeColor="text1"/>
                <w:sz w:val="20"/>
                <w:szCs w:val="20"/>
                <w:lang w:eastAsia="zh-CN"/>
              </w:rPr>
              <w:t>、</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sz w:val="21"/>
                <w:szCs w:val="21"/>
                <w:lang w:val="en-US" w:eastAsia="zh-CN"/>
              </w:rPr>
              <w:t>综合部组织全体部门对所涉及的环境因素进行识别，并评价出重要环境因素，提供环境因素评价记录，目前环境因素识别基本完整，评价的重要环境因素有</w:t>
            </w:r>
            <w:r>
              <w:rPr>
                <w:rFonts w:hint="default" w:ascii="Times New Roman" w:hAnsi="Times New Roman" w:cs="Times New Roman"/>
                <w:sz w:val="21"/>
                <w:szCs w:val="21"/>
                <w:highlight w:val="none"/>
              </w:rPr>
              <w:t>潜在火灾</w:t>
            </w:r>
            <w:r>
              <w:rPr>
                <w:rFonts w:hint="eastAsia" w:ascii="Times New Roman" w:hAnsi="Times New Roman" w:cs="Times New Roman"/>
                <w:sz w:val="21"/>
                <w:szCs w:val="21"/>
                <w:highlight w:val="none"/>
                <w:lang w:val="en-US" w:eastAsia="zh-CN"/>
              </w:rPr>
              <w:t>的发生</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固体废弃物处理</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7</w:t>
            </w:r>
            <w:r>
              <w:rPr>
                <w:rFonts w:hint="eastAsia"/>
                <w:b/>
                <w:color w:val="000000" w:themeColor="text1"/>
                <w:spacing w:val="-10"/>
                <w:sz w:val="20"/>
                <w:szCs w:val="20"/>
                <w:lang w:eastAsia="zh-CN"/>
              </w:rPr>
              <w:t>、</w:t>
            </w:r>
            <w:r>
              <w:rPr>
                <w:rFonts w:hint="eastAsia"/>
                <w:b/>
                <w:color w:val="000000" w:themeColor="text1"/>
                <w:spacing w:val="-10"/>
                <w:sz w:val="20"/>
                <w:szCs w:val="20"/>
              </w:rPr>
              <w:t xml:space="preserve">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ascii="宋体" w:hAnsi="宋体"/>
                <w:sz w:val="21"/>
                <w:szCs w:val="21"/>
                <w:lang w:val="en-US" w:eastAsia="zh-CN"/>
              </w:rPr>
              <w:t>综合部组织</w:t>
            </w:r>
            <w:r>
              <w:rPr>
                <w:rFonts w:hint="eastAsia" w:ascii="宋体" w:hAnsi="宋体"/>
                <w:color w:val="auto"/>
                <w:sz w:val="21"/>
                <w:szCs w:val="21"/>
                <w:lang w:val="en-US" w:eastAsia="zh-CN"/>
              </w:rPr>
              <w:t>全体部门所涉及的危险源进行识别，并评价出重大危险源，提供重大危险源评价记录，目前危险源识别基本完整，评价的</w:t>
            </w:r>
            <w:r>
              <w:rPr>
                <w:rFonts w:hint="eastAsia"/>
                <w:color w:val="auto"/>
              </w:rPr>
              <w:t>不可接受风险</w:t>
            </w:r>
            <w:r>
              <w:rPr>
                <w:rFonts w:hint="eastAsia"/>
                <w:color w:val="auto"/>
                <w:lang w:eastAsia="zh-CN"/>
              </w:rPr>
              <w:t>为</w:t>
            </w:r>
            <w:r>
              <w:rPr>
                <w:rFonts w:hint="eastAsia"/>
                <w:color w:val="auto"/>
                <w:sz w:val="21"/>
                <w:szCs w:val="21"/>
              </w:rPr>
              <w:t>火灾、触电、</w:t>
            </w:r>
            <w:r>
              <w:rPr>
                <w:rFonts w:hint="eastAsia"/>
                <w:color w:val="auto"/>
                <w:sz w:val="21"/>
                <w:szCs w:val="21"/>
                <w:lang w:val="en-US" w:eastAsia="zh-CN"/>
              </w:rPr>
              <w:t>爆炸</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ascii="宋体" w:hAnsi="宋体"/>
                <w:b/>
                <w:color w:val="000000" w:themeColor="text1"/>
                <w:spacing w:val="-4"/>
                <w:szCs w:val="21"/>
                <w:lang w:val="en-US" w:eastAsia="zh-CN"/>
              </w:rPr>
              <w:t>8、</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ascii="宋体" w:hAnsi="宋体"/>
                <w:b/>
                <w:color w:val="000000" w:themeColor="text1"/>
                <w:szCs w:val="21"/>
                <w:lang w:val="en-US" w:eastAsia="zh-CN"/>
              </w:rPr>
              <w:t>9、</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管理目标： 1）服务质量合格率100%；2）合同评审率100%；3）顾客满意度96%以上；4)固体废弃物100%分类，合理处理；5）环境污染事故发生率为零；6）各类重伤以上事故发生率为零； 7）火灾事故发生率为零。</w:t>
            </w:r>
          </w:p>
          <w:p>
            <w:pPr>
              <w:spacing w:line="240" w:lineRule="exact"/>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w:t>
            </w:r>
            <w:r>
              <w:rPr>
                <w:rFonts w:hint="eastAsia" w:ascii="Times New Roman" w:hAnsi="Times New Roman" w:cs="宋体"/>
                <w:lang w:eastAsia="zh-CN"/>
              </w:rPr>
              <w:t>每</w:t>
            </w:r>
            <w:r>
              <w:rPr>
                <w:rFonts w:hint="eastAsia" w:ascii="Times New Roman" w:hAnsi="Times New Roman" w:cs="宋体"/>
                <w:lang w:val="en-US" w:eastAsia="zh-CN"/>
              </w:rPr>
              <w:t>三个月</w:t>
            </w:r>
            <w:r>
              <w:rPr>
                <w:rFonts w:hint="eastAsia" w:ascii="Times New Roman" w:hAnsi="Times New Roman" w:cs="宋体"/>
              </w:rPr>
              <w:t>考核一次，</w:t>
            </w:r>
            <w:r>
              <w:rPr>
                <w:rFonts w:hint="eastAsia" w:ascii="Times New Roman" w:hAnsi="Times New Roman" w:cs="宋体"/>
                <w:lang w:val="en-US" w:eastAsia="zh-CN"/>
              </w:rPr>
              <w:t>查看2020年10月-12月各部门目标考核记录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rPr>
              <w:t>管理体系文件由</w:t>
            </w:r>
            <w:r>
              <w:rPr>
                <w:rFonts w:hint="eastAsia" w:cs="宋体"/>
                <w:lang w:val="en-US" w:eastAsia="zh-CN"/>
              </w:rPr>
              <w:t>综合部</w:t>
            </w:r>
            <w:r>
              <w:rPr>
                <w:rFonts w:hint="eastAsia" w:ascii="Times New Roman" w:hAnsi="Times New Roman" w:cs="宋体"/>
              </w:rPr>
              <w:t>组织编写，总经理批准发布实施，</w:t>
            </w:r>
            <w:r>
              <w:rPr>
                <w:rFonts w:hint="eastAsia" w:cs="宋体"/>
                <w:lang w:val="en-US" w:eastAsia="zh-CN"/>
              </w:rPr>
              <w:t>综合部</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val="en-US" w:eastAsia="zh-CN"/>
              </w:rPr>
              <w:t>综合部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val="en-US" w:eastAsia="zh-CN"/>
              </w:rPr>
              <w:t>综合部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tabs>
                <w:tab w:val="left" w:pos="540"/>
              </w:tabs>
              <w:spacing w:line="240" w:lineRule="exact"/>
              <w:rPr>
                <w:rFonts w:hint="eastAsia" w:ascii="Times New Roman" w:hAnsi="Times New Roman" w:eastAsia="宋体" w:cs="宋体"/>
              </w:rPr>
            </w:pPr>
            <w:r>
              <w:rPr>
                <w:rFonts w:hint="eastAsia" w:ascii="Times New Roman" w:hAnsi="Times New Roman" w:eastAsia="宋体" w:cs="宋体"/>
              </w:rPr>
              <w:t>配备有</w:t>
            </w:r>
            <w:r>
              <w:rPr>
                <w:rFonts w:hint="eastAsia" w:ascii="Times New Roman" w:hAnsi="Times New Roman" w:eastAsia="宋体" w:cs="宋体"/>
                <w:lang w:eastAsia="zh-CN"/>
              </w:rPr>
              <w:t>办公室</w:t>
            </w:r>
            <w:r>
              <w:rPr>
                <w:rFonts w:hint="eastAsia" w:ascii="Times New Roman" w:hAnsi="Times New Roman" w:eastAsia="宋体" w:cs="宋体"/>
              </w:rPr>
              <w:t>等基础设施，主要设</w:t>
            </w:r>
            <w:r>
              <w:rPr>
                <w:rFonts w:hint="eastAsia" w:ascii="Times New Roman" w:hAnsi="Times New Roman" w:eastAsia="宋体" w:cs="宋体"/>
                <w:lang w:eastAsia="zh-CN"/>
              </w:rPr>
              <w:t>施：</w:t>
            </w:r>
            <w:r>
              <w:rPr>
                <w:rFonts w:hint="eastAsia" w:ascii="Times New Roman" w:hAnsi="Times New Roman" w:eastAsia="宋体" w:cs="宋体"/>
                <w:lang w:val="en-US" w:eastAsia="zh-CN"/>
              </w:rPr>
              <w:t>电脑、一体机、电话、打印机、传真机等办公设备</w:t>
            </w:r>
            <w:r>
              <w:rPr>
                <w:rFonts w:hint="eastAsia" w:ascii="Times New Roman" w:hAnsi="Times New Roman" w:eastAsia="宋体" w:cs="宋体"/>
              </w:rPr>
              <w:t>，满足</w:t>
            </w:r>
            <w:r>
              <w:rPr>
                <w:rFonts w:hint="eastAsia" w:ascii="Times New Roman" w:hAnsi="Times New Roman" w:eastAsia="宋体" w:cs="宋体"/>
                <w:lang w:val="en-US" w:eastAsia="zh-CN"/>
              </w:rPr>
              <w:t>提供</w:t>
            </w:r>
            <w:r>
              <w:rPr>
                <w:rFonts w:hint="eastAsia" w:ascii="Times New Roman" w:hAnsi="Times New Roman" w:eastAsia="宋体" w:cs="宋体"/>
                <w:lang w:eastAsia="zh-CN"/>
              </w:rPr>
              <w:t>服务</w:t>
            </w:r>
            <w:r>
              <w:rPr>
                <w:rFonts w:hint="eastAsia" w:ascii="Times New Roman" w:hAnsi="Times New Roman" w:eastAsia="宋体" w:cs="宋体"/>
              </w:rPr>
              <w:t>需求</w:t>
            </w:r>
            <w:r>
              <w:rPr>
                <w:rFonts w:hint="eastAsia" w:ascii="Times New Roman" w:hAnsi="Times New Roman" w:eastAsia="宋体" w:cs="宋体"/>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tabs>
                <w:tab w:val="left" w:pos="540"/>
              </w:tabs>
              <w:spacing w:line="240" w:lineRule="exact"/>
              <w:rPr>
                <w:rFonts w:hint="default" w:ascii="Times New Roman" w:hAnsi="Times New Roman" w:eastAsia="宋体" w:cs="宋体"/>
                <w:lang w:val="en-US" w:eastAsia="zh-CN"/>
              </w:rPr>
            </w:pPr>
            <w:r>
              <w:rPr>
                <w:rFonts w:hint="eastAsia" w:ascii="Times New Roman" w:hAnsi="Times New Roman" w:eastAsia="宋体" w:cs="宋体"/>
                <w:lang w:val="en-US" w:eastAsia="zh-CN"/>
              </w:rPr>
              <w:t>公司注册及生产经营地址为：</w:t>
            </w:r>
            <w:bookmarkStart w:id="21" w:name="生产地址"/>
            <w:r>
              <w:rPr>
                <w:rFonts w:hint="eastAsia" w:ascii="Times New Roman" w:hAnsi="Times New Roman" w:eastAsia="宋体" w:cs="宋体"/>
                <w:lang w:val="en-US" w:eastAsia="zh-CN"/>
              </w:rPr>
              <w:t>北京市大兴区黄村镇富强路北侧2幢2层2-5号201室</w:t>
            </w:r>
            <w:bookmarkEnd w:id="21"/>
          </w:p>
          <w:p>
            <w:pPr>
              <w:tabs>
                <w:tab w:val="left" w:pos="540"/>
              </w:tabs>
              <w:spacing w:line="240" w:lineRule="exact"/>
              <w:rPr>
                <w:rFonts w:hint="eastAsia" w:ascii="Times New Roman" w:hAnsi="Times New Roman" w:eastAsia="宋体" w:cs="宋体"/>
                <w:lang w:val="en-US" w:eastAsia="zh-CN"/>
              </w:rPr>
            </w:pPr>
            <w:r>
              <w:rPr>
                <w:rFonts w:hint="eastAsia" w:ascii="Times New Roman" w:hAnsi="Times New Roman" w:eastAsia="宋体" w:cs="宋体"/>
                <w:lang w:val="en-US" w:eastAsia="zh-CN"/>
              </w:rPr>
              <w:t>配置有办公场所，办公面积155平米，适当装修，工序布局合理，场所卫生干净整洁，配有通风设施，工作环境良好。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rFonts w:ascii="宋体" w:hAnsi="宋体"/>
                <w:b/>
                <w:color w:val="000000" w:themeColor="text1"/>
                <w:sz w:val="20"/>
                <w:szCs w:val="20"/>
              </w:rPr>
            </w:pPr>
            <w:r>
              <w:rPr>
                <w:rFonts w:hint="eastAsia"/>
                <w:sz w:val="21"/>
                <w:szCs w:val="21"/>
              </w:rPr>
              <w:t>公司对法律法规及其他要求进行了获取，</w:t>
            </w:r>
            <w:r>
              <w:rPr>
                <w:rFonts w:hint="default"/>
                <w:szCs w:val="22"/>
                <w:lang w:eastAsia="zh-CN"/>
              </w:rPr>
              <w:t>包括</w:t>
            </w:r>
            <w:r>
              <w:rPr>
                <w:rFonts w:hint="eastAsia"/>
                <w:szCs w:val="22"/>
                <w:lang w:val="en-US" w:eastAsia="zh-CN"/>
              </w:rPr>
              <w:t>中华人民共和国产品质量法、中华人民共和国消费者权益保护法、中华人民共和国专利法、中华人民共和国商标法等法律法规、中华人民共和国环境保护法、中华人民共和国固体废物污染环境防治法、中华人民共和国劳动合同法、中华人民共和国职业病防治法、</w:t>
            </w:r>
            <w:r>
              <w:rPr>
                <w:rFonts w:hint="eastAsia" w:ascii="宋体" w:hAnsi="宋体" w:cs="宋体"/>
                <w:szCs w:val="21"/>
                <w:shd w:val="clear" w:color="auto" w:fill="FFFFFF"/>
              </w:rPr>
              <w:t>职业健康检查管理办法</w:t>
            </w:r>
            <w:r>
              <w:rPr>
                <w:rFonts w:hint="eastAsia"/>
                <w:szCs w:val="22"/>
                <w:lang w:val="en-US" w:eastAsia="zh-CN"/>
              </w:rPr>
              <w:t>、</w:t>
            </w:r>
            <w:r>
              <w:rPr>
                <w:rFonts w:hint="eastAsia" w:ascii="宋体" w:hAnsi="宋体" w:cs="宋体"/>
                <w:kern w:val="0"/>
                <w:szCs w:val="21"/>
              </w:rPr>
              <w:t>工伤保险条例</w:t>
            </w:r>
            <w:r>
              <w:rPr>
                <w:rFonts w:hint="eastAsia" w:ascii="宋体" w:hAnsi="宋体" w:cs="宋体"/>
                <w:kern w:val="0"/>
                <w:szCs w:val="21"/>
                <w:lang w:eastAsia="zh-CN"/>
              </w:rPr>
              <w:t>、</w:t>
            </w:r>
            <w:r>
              <w:rPr>
                <w:rFonts w:hint="eastAsia" w:ascii="宋体" w:hAnsi="宋体" w:cs="宋体"/>
                <w:szCs w:val="21"/>
                <w:shd w:val="clear" w:color="auto" w:fill="FFFFFF"/>
              </w:rPr>
              <w:t>劳动保障监察条例</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中华人民共和国消防法</w:t>
            </w:r>
            <w:r>
              <w:rPr>
                <w:rFonts w:hint="eastAsia" w:ascii="宋体" w:hAnsi="宋体" w:cs="宋体"/>
                <w:szCs w:val="21"/>
                <w:shd w:val="clear" w:color="auto" w:fill="FFFFFF"/>
                <w:lang w:eastAsia="zh-CN"/>
              </w:rPr>
              <w:t>、</w:t>
            </w:r>
            <w:r>
              <w:rPr>
                <w:rFonts w:hint="eastAsia" w:ascii="Times New Roman" w:hAnsi="Times New Roman" w:eastAsia="宋体"/>
                <w:kern w:val="2"/>
                <w:sz w:val="21"/>
                <w:szCs w:val="22"/>
                <w:lang w:val="en-US" w:eastAsia="zh-CN"/>
              </w:rPr>
              <w:t>T/XNHRSIA 002-2018 劳务派遣服务标准</w:t>
            </w:r>
            <w:r>
              <w:rPr>
                <w:rFonts w:hint="eastAsia"/>
                <w:kern w:val="2"/>
                <w:sz w:val="21"/>
                <w:szCs w:val="22"/>
                <w:lang w:val="en-US" w:eastAsia="zh-CN"/>
              </w:rPr>
              <w:t>、</w:t>
            </w:r>
            <w:r>
              <w:rPr>
                <w:rFonts w:hint="eastAsia" w:ascii="Times New Roman" w:hAnsi="Times New Roman" w:eastAsia="宋体"/>
                <w:kern w:val="2"/>
                <w:sz w:val="21"/>
                <w:szCs w:val="22"/>
                <w:lang w:val="en-US" w:eastAsia="zh-CN"/>
              </w:rPr>
              <w:t>DB13/T 3008.12-2018 人力资源服务规范 第12部分：劳务派遣</w:t>
            </w:r>
            <w:r>
              <w:rPr>
                <w:rFonts w:hint="eastAsia"/>
                <w:szCs w:val="22"/>
                <w:lang w:val="en-US" w:eastAsia="zh-CN"/>
              </w:rPr>
              <w:t>等法律法规及其他要求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beforeLines="30" w:afterLines="30" w:line="240" w:lineRule="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beforeLines="30" w:afterLines="30"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公司的质量、环境、职业健康安全方针：</w:t>
            </w:r>
          </w:p>
          <w:p>
            <w:pPr>
              <w:autoSpaceDE w:val="0"/>
              <w:autoSpaceDN w:val="0"/>
              <w:adjustRightInd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守法诚信追求质量，预防污染保护环境；</w:t>
            </w:r>
          </w:p>
          <w:p>
            <w:pPr>
              <w:autoSpaceDE w:val="0"/>
              <w:autoSpaceDN w:val="0"/>
              <w:adjustRightInd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关爱员工健康安全，持续改进追求卓越。</w:t>
            </w:r>
          </w:p>
          <w:p>
            <w:pPr>
              <w:spacing w:beforeLines="30" w:afterLines="30" w:line="240" w:lineRule="auto"/>
              <w:rPr>
                <w:rFonts w:hint="eastAsia" w:ascii="宋体" w:hAnsi="宋体" w:eastAsia="宋体" w:cs="宋体"/>
                <w:sz w:val="21"/>
                <w:szCs w:val="21"/>
              </w:rPr>
            </w:pPr>
            <w:r>
              <w:rPr>
                <w:rFonts w:hint="eastAsia" w:ascii="宋体" w:hAnsi="宋体" w:eastAsia="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00" w:lineRule="exact"/>
              <w:ind w:left="1"/>
              <w:rPr>
                <w:b/>
                <w:color w:val="000000" w:themeColor="text1"/>
                <w:sz w:val="20"/>
                <w:szCs w:val="20"/>
              </w:rPr>
            </w:pPr>
            <w:r>
              <w:rPr>
                <w:rFonts w:hint="eastAsia" w:ascii="宋体" w:hAnsi="宋体" w:eastAsia="宋体" w:cs="宋体"/>
                <w:sz w:val="21"/>
                <w:szCs w:val="21"/>
              </w:rPr>
              <w:t>经查，质量、环境、职业健康安全管理方针没有变化</w:t>
            </w:r>
            <w:r>
              <w:rPr>
                <w:rFonts w:hint="eastAsia" w:ascii="宋体" w:hAnsi="宋体" w:eastAsia="宋体" w:cs="宋体"/>
                <w:sz w:val="21"/>
                <w:szCs w:val="21"/>
                <w:lang w:eastAsia="zh-CN"/>
              </w:rPr>
              <w:t>，且适应组织的宗旨和环境</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Times New Roman"/>
                <w:szCs w:val="21"/>
                <w:lang w:val="en-US" w:eastAsia="zh-CN"/>
              </w:rPr>
              <w:t>与上</w:t>
            </w:r>
            <w:r>
              <w:rPr>
                <w:rFonts w:hint="eastAsia" w:ascii="宋体" w:hAnsi="宋体"/>
                <w:szCs w:val="21"/>
              </w:rPr>
              <w:t>级主管部门的沟通，目前沟通都较为顺畅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公司对产品质量目标、产品实现过程；产品所要求的验证、确认、监视、检验和试验活动以及产品接收准则进行了策划，并规定了所需的记录。</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w:t>
            </w:r>
            <w:r>
              <w:rPr>
                <w:rFonts w:hint="eastAsia"/>
                <w:sz w:val="21"/>
                <w:szCs w:val="21"/>
                <w:lang w:val="en-US" w:eastAsia="zh-CN"/>
              </w:rPr>
              <w:t>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销售部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lang w:val="en-US" w:eastAsia="zh-CN"/>
              </w:rPr>
              <w:t>公司主要经营项目为劳务派遣及人力资源服务，不涉及产品的销售，因此主要进行办公用品等的采购。</w:t>
            </w:r>
            <w:r>
              <w:rPr>
                <w:rFonts w:hint="eastAsia"/>
                <w:sz w:val="21"/>
                <w:szCs w:val="21"/>
              </w:rPr>
              <w:t>编制</w:t>
            </w:r>
            <w:r>
              <w:rPr>
                <w:rFonts w:hint="eastAsia"/>
                <w:sz w:val="21"/>
                <w:szCs w:val="21"/>
                <w:lang w:eastAsia="zh-CN"/>
              </w:rPr>
              <w:t>进货检验规范</w:t>
            </w:r>
            <w:r>
              <w:rPr>
                <w:rFonts w:hint="eastAsia"/>
                <w:sz w:val="21"/>
                <w:szCs w:val="21"/>
              </w:rPr>
              <w:t>等作业文件规定采购</w:t>
            </w:r>
            <w:r>
              <w:rPr>
                <w:rFonts w:hint="eastAsia"/>
                <w:sz w:val="21"/>
                <w:szCs w:val="21"/>
                <w:lang w:val="en-US" w:eastAsia="zh-CN"/>
              </w:rPr>
              <w:t>办公用品</w:t>
            </w:r>
            <w:r>
              <w:rPr>
                <w:rFonts w:hint="eastAsia"/>
                <w:sz w:val="21"/>
                <w:szCs w:val="21"/>
              </w:rPr>
              <w:t>质量要求；其次对供方进行了评价</w:t>
            </w:r>
            <w:r>
              <w:rPr>
                <w:rFonts w:hint="eastAsia"/>
                <w:color w:val="auto"/>
                <w:sz w:val="21"/>
                <w:szCs w:val="21"/>
              </w:rPr>
              <w:t>。</w:t>
            </w:r>
          </w:p>
          <w:p>
            <w:pPr>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cs="宋体"/>
                <w:szCs w:val="21"/>
                <w:lang w:val="en-US" w:eastAsia="zh-CN"/>
              </w:rPr>
              <w:t>编制了《员工手册》包含人事管理、行政管理、安全制度、劳动纪律等。《服务范围规章制度》包含劳务派人员人事档案管理、劳务派遣业务工作流程、客户服务指南等多个工艺文件和记录。</w:t>
            </w:r>
            <w:r>
              <w:rPr>
                <w:rFonts w:hint="eastAsia"/>
                <w:sz w:val="21"/>
                <w:szCs w:val="21"/>
                <w:lang w:val="en-US" w:eastAsia="zh-CN"/>
              </w:rPr>
              <w:t>由项目负责人组织人员、物资等资源进行服务提供，进</w:t>
            </w:r>
            <w:r>
              <w:rPr>
                <w:rFonts w:hint="eastAsia" w:ascii="宋体" w:hAnsi="宋体"/>
                <w:sz w:val="21"/>
                <w:szCs w:val="21"/>
                <w:lang w:val="en-US" w:eastAsia="zh-CN"/>
              </w:rPr>
              <w:t>行跟踪</w:t>
            </w:r>
            <w:r>
              <w:rPr>
                <w:rFonts w:hint="eastAsia" w:ascii="宋体" w:hAnsi="宋体"/>
                <w:sz w:val="21"/>
                <w:szCs w:val="21"/>
              </w:rPr>
              <w:t>，</w:t>
            </w:r>
            <w:r>
              <w:rPr>
                <w:rFonts w:hint="eastAsia" w:ascii="宋体" w:hAnsi="宋体"/>
                <w:sz w:val="21"/>
                <w:szCs w:val="21"/>
                <w:lang w:val="en-US" w:eastAsia="zh-CN"/>
              </w:rPr>
              <w:t>评审服务的完成情况、服务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spacing w:line="240" w:lineRule="exact"/>
              <w:rPr>
                <w:b/>
                <w:color w:val="000000" w:themeColor="text1"/>
                <w:sz w:val="20"/>
                <w:szCs w:val="20"/>
              </w:rPr>
            </w:pPr>
            <w:r>
              <w:rPr>
                <w:rFonts w:hint="eastAsia"/>
                <w:sz w:val="21"/>
                <w:szCs w:val="21"/>
              </w:rPr>
              <w:t>5.变更的控制：</w:t>
            </w:r>
            <w:r>
              <w:rPr>
                <w:rFonts w:hint="eastAsia" w:ascii="宋体" w:hAnsi="宋体" w:cs="宋体"/>
                <w:szCs w:val="21"/>
                <w:lang w:val="en-US" w:eastAsia="zh-CN"/>
              </w:rPr>
              <w:t>合同评审后，按合同要求进行组织开展相关服务，如发现提供的服务与顾客要求不一致的，与客户商量，重新签订合同，得到顾客确认后，再重新组织开展服务，并对不一致的原因进行分析，避免下次再发生，经了解，目前没有发生对生产和服务提供的更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hint="eastAsia" w:ascii="宋体" w:hAnsi="宋体" w:cs="宋体"/>
                <w:szCs w:val="21"/>
                <w:lang w:val="en-US" w:eastAsia="zh-CN"/>
              </w:rPr>
            </w:pPr>
            <w:r>
              <w:rPr>
                <w:rFonts w:hint="eastAsia" w:ascii="宋体" w:hAnsi="宋体" w:cs="宋体"/>
                <w:szCs w:val="21"/>
                <w:lang w:val="en-US" w:eastAsia="zh-CN"/>
              </w:rPr>
              <w:t>公司确保服务过程中的不合格项得到识别和进行有效控制，防止不合格项的非预期使用或交付。对顾客发现的不合格项，销售部负责做好详细记录，提供客观证据，报告部门负责人进行审批，并通知顾客及供方以便共同协商处理办法或采取措施。</w:t>
            </w:r>
          </w:p>
          <w:p>
            <w:pPr>
              <w:spacing w:line="240" w:lineRule="exact"/>
              <w:rPr>
                <w:b/>
                <w:color w:val="000000" w:themeColor="text1"/>
                <w:sz w:val="20"/>
                <w:szCs w:val="20"/>
              </w:rPr>
            </w:pPr>
            <w:r>
              <w:rPr>
                <w:rFonts w:hint="eastAsia" w:ascii="宋体" w:hAnsi="宋体" w:cs="宋体"/>
                <w:szCs w:val="21"/>
                <w:lang w:val="en-US" w:eastAsia="zh-CN"/>
              </w:rPr>
              <w:t>目前，未发生不合格现象。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sz w:val="21"/>
                <w:szCs w:val="21"/>
                <w:lang w:val="en-GB"/>
              </w:rPr>
              <w:t>编制</w:t>
            </w:r>
            <w:r>
              <w:rPr>
                <w:rFonts w:hint="eastAsia" w:ascii="宋体" w:hAnsi="宋体" w:eastAsia="宋体" w:cs="宋体"/>
                <w:b w:val="0"/>
                <w:bCs/>
                <w:sz w:val="21"/>
              </w:rPr>
              <w:t>危险源、环境因素识别和评价控制程序</w:t>
            </w:r>
            <w:r>
              <w:rPr>
                <w:rFonts w:hint="eastAsia" w:ascii="宋体" w:hAnsi="宋体"/>
                <w:color w:val="000000"/>
                <w:szCs w:val="21"/>
                <w:lang w:eastAsia="zh-CN"/>
              </w:rPr>
              <w:t>、</w:t>
            </w:r>
            <w:r>
              <w:rPr>
                <w:rFonts w:hint="eastAsia" w:ascii="宋体" w:hAnsi="宋体" w:eastAsia="宋体" w:cs="宋体"/>
              </w:rPr>
              <w:t>健康、安全与环境运行控制程序</w:t>
            </w:r>
            <w:r>
              <w:rPr>
                <w:rFonts w:hint="eastAsia" w:ascii="宋体" w:hAnsi="宋体" w:eastAsia="宋体" w:cs="宋体"/>
                <w:lang w:eastAsia="zh-CN"/>
              </w:rPr>
              <w:t>，</w:t>
            </w:r>
            <w:r>
              <w:rPr>
                <w:rFonts w:hint="eastAsia"/>
                <w:sz w:val="21"/>
                <w:szCs w:val="21"/>
              </w:rPr>
              <w:t>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提供有办公区检查表、相关方告知书。</w:t>
            </w:r>
            <w:r>
              <w:rPr>
                <w:rFonts w:hint="eastAsia"/>
                <w:color w:val="auto"/>
                <w:sz w:val="21"/>
                <w:szCs w:val="21"/>
                <w:lang w:val="en-US" w:eastAsia="zh-CN"/>
              </w:rPr>
              <w:t>提供对供方</w:t>
            </w:r>
            <w:r>
              <w:rPr>
                <w:rFonts w:hint="eastAsia" w:ascii="方正仿宋简体" w:eastAsia="方正仿宋简体"/>
                <w:b w:val="0"/>
                <w:bCs/>
                <w:color w:val="auto"/>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b/>
                <w:color w:val="000000" w:themeColor="text1"/>
                <w:sz w:val="20"/>
                <w:szCs w:val="20"/>
              </w:rPr>
            </w:pPr>
            <w:r>
              <w:rPr>
                <w:rFonts w:hint="eastAsia"/>
                <w:sz w:val="21"/>
                <w:szCs w:val="21"/>
                <w:lang w:val="en-GB"/>
              </w:rPr>
              <w:t>编制</w:t>
            </w:r>
            <w:r>
              <w:rPr>
                <w:rFonts w:hint="eastAsia" w:ascii="宋体" w:hAnsi="宋体" w:eastAsia="宋体" w:cs="宋体"/>
                <w:b w:val="0"/>
                <w:bCs/>
                <w:sz w:val="21"/>
              </w:rPr>
              <w:t>危险源、环境因素识别和评价控制程序</w:t>
            </w:r>
            <w:r>
              <w:rPr>
                <w:rFonts w:hint="eastAsia" w:ascii="宋体" w:hAnsi="宋体"/>
                <w:color w:val="000000"/>
                <w:szCs w:val="21"/>
                <w:lang w:eastAsia="zh-CN"/>
              </w:rPr>
              <w:t>、</w:t>
            </w:r>
            <w:r>
              <w:rPr>
                <w:rFonts w:hint="eastAsia" w:ascii="宋体" w:hAnsi="宋体" w:eastAsia="宋体" w:cs="宋体"/>
              </w:rPr>
              <w:t>健康、安全与环境运行控制程序</w:t>
            </w:r>
            <w:r>
              <w:rPr>
                <w:rFonts w:hint="eastAsia"/>
                <w:sz w:val="21"/>
                <w:szCs w:val="21"/>
                <w:lang w:val="en-GB"/>
              </w:rPr>
              <w:t>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w:t>
            </w:r>
            <w:r>
              <w:rPr>
                <w:rFonts w:hint="eastAsia"/>
                <w:sz w:val="21"/>
                <w:szCs w:val="21"/>
                <w:lang w:eastAsia="zh-CN"/>
              </w:rPr>
              <w:t>病毒感染、</w:t>
            </w:r>
            <w:r>
              <w:rPr>
                <w:rFonts w:hint="eastAsia"/>
                <w:sz w:val="21"/>
                <w:szCs w:val="21"/>
              </w:rPr>
              <w:t>相关方施加影响等进行控制，具体措施有对员工进行安全教育，对相关方进行告知</w:t>
            </w:r>
            <w:r>
              <w:rPr>
                <w:rFonts w:hint="eastAsia"/>
                <w:color w:val="auto"/>
                <w:sz w:val="21"/>
                <w:szCs w:val="21"/>
              </w:rPr>
              <w:t>，</w:t>
            </w:r>
            <w:r>
              <w:rPr>
                <w:rFonts w:hint="eastAsia"/>
                <w:color w:val="auto"/>
                <w:sz w:val="21"/>
                <w:szCs w:val="21"/>
                <w:lang w:val="en-US" w:eastAsia="zh-CN"/>
              </w:rPr>
              <w:t>提供对供方</w:t>
            </w:r>
            <w:r>
              <w:rPr>
                <w:rFonts w:hint="eastAsia" w:ascii="方正仿宋简体" w:eastAsia="方正仿宋简体"/>
                <w:b w:val="0"/>
                <w:bCs/>
                <w:color w:val="auto"/>
                <w:lang w:val="en-US" w:eastAsia="zh-CN"/>
              </w:rPr>
              <w:t>施加影响的证据。</w:t>
            </w:r>
            <w:r>
              <w:rPr>
                <w:rFonts w:hint="eastAsia"/>
                <w:color w:val="auto"/>
                <w:sz w:val="21"/>
                <w:szCs w:val="21"/>
              </w:rPr>
              <w:t>办公区域干净整洁，配置灭火器等消防设施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lang w:val="en-GB"/>
              </w:rPr>
              <w:t>编制应急准备和响应控制程序，识别的潜在意外紧急情况为火灾、触电</w:t>
            </w:r>
            <w:r>
              <w:rPr>
                <w:rFonts w:hint="eastAsia"/>
                <w:sz w:val="21"/>
                <w:szCs w:val="21"/>
                <w:lang w:val="en-GB" w:eastAsia="zh-CN"/>
              </w:rPr>
              <w:t>、感染新冠肺炎</w:t>
            </w:r>
            <w:r>
              <w:rPr>
                <w:rFonts w:hint="eastAsia"/>
                <w:sz w:val="21"/>
                <w:szCs w:val="21"/>
                <w:lang w:val="en-GB"/>
              </w:rPr>
              <w:t>等。编制了应急预案，组织了消防演练</w:t>
            </w:r>
            <w:r>
              <w:rPr>
                <w:rFonts w:hint="eastAsia"/>
                <w:sz w:val="21"/>
                <w:szCs w:val="21"/>
                <w:lang w:val="en-US" w:eastAsia="zh-CN"/>
              </w:rPr>
              <w:t>演练、触电应急演练</w:t>
            </w:r>
            <w:r>
              <w:rPr>
                <w:rFonts w:hint="eastAsia"/>
                <w:sz w:val="21"/>
                <w:szCs w:val="21"/>
                <w:lang w:val="en-GB"/>
              </w:rPr>
              <w:t>，提供了</w:t>
            </w:r>
            <w:r>
              <w:rPr>
                <w:rFonts w:hint="eastAsia"/>
                <w:sz w:val="21"/>
                <w:szCs w:val="21"/>
                <w:lang w:val="en-GB" w:eastAsia="zh-CN"/>
              </w:rPr>
              <w:t>相应</w:t>
            </w:r>
            <w:r>
              <w:rPr>
                <w:rFonts w:hint="eastAsia"/>
                <w:sz w:val="21"/>
                <w:szCs w:val="21"/>
                <w:lang w:val="en-GB"/>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三个月</w:t>
            </w:r>
            <w:r>
              <w:rPr>
                <w:rFonts w:hint="eastAsia"/>
                <w:sz w:val="21"/>
                <w:szCs w:val="21"/>
              </w:rPr>
              <w:t>考核一次，查看20</w:t>
            </w:r>
            <w:r>
              <w:rPr>
                <w:rFonts w:hint="eastAsia"/>
                <w:sz w:val="21"/>
                <w:szCs w:val="21"/>
                <w:lang w:val="en-US" w:eastAsia="zh-CN"/>
              </w:rPr>
              <w:t>20</w:t>
            </w:r>
            <w:r>
              <w:rPr>
                <w:rFonts w:hint="eastAsia"/>
                <w:sz w:val="21"/>
                <w:szCs w:val="21"/>
              </w:rPr>
              <w:t>年</w:t>
            </w:r>
            <w:r>
              <w:rPr>
                <w:rFonts w:hint="eastAsia"/>
                <w:sz w:val="21"/>
                <w:szCs w:val="21"/>
                <w:lang w:val="en-US" w:eastAsia="zh-CN"/>
              </w:rPr>
              <w:t>10月-12月</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走访等形式，接受顾客反馈，了解顾客满意度信息，发放调查表对顾客满意度进行定量测量。提供“顾客满意程度调查表”，调查主要内容：</w:t>
            </w:r>
            <w:r>
              <w:rPr>
                <w:rFonts w:hint="eastAsia" w:ascii="Times New Roman" w:hAnsi="Times New Roman" w:cs="Times New Roman"/>
                <w:sz w:val="21"/>
                <w:szCs w:val="21"/>
                <w:lang w:val="en-US" w:eastAsia="zh-CN"/>
              </w:rPr>
              <w:t>服务</w:t>
            </w:r>
            <w:r>
              <w:rPr>
                <w:rFonts w:hint="eastAsia" w:cs="宋体"/>
                <w:lang w:val="en-US" w:eastAsia="zh-CN"/>
              </w:rPr>
              <w:t>质量、价格、服务按时完成、服务效率、对投诉的处理</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cs="Times New Roman"/>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20年12月10日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12</w:t>
            </w:r>
            <w:r>
              <w:rPr>
                <w:rFonts w:hint="eastAsia" w:cs="宋体"/>
              </w:rPr>
              <w:t>月</w:t>
            </w:r>
            <w:r>
              <w:rPr>
                <w:rFonts w:hint="eastAsia" w:cs="宋体"/>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1"/>
                <w:szCs w:val="21"/>
                <w:lang w:val="en-US" w:eastAsia="zh-CN"/>
              </w:rPr>
              <w:t>对员工进行了体检的证据，符合要求。详见附件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3"/>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exact"/>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ind w:left="100" w:leftChars="0" w:hanging="100" w:hangingChars="50"/>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ind w:leftChars="-5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val="en-US" w:eastAsia="zh-CN"/>
        </w:rPr>
        <w:t>业务部，GB/T19001-2016标准的8.2.3</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bookmarkStart w:id="23" w:name="_GoBack"/>
            <w:bookmarkEnd w:id="23"/>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autoSpaceDE w:val="0"/>
              <w:autoSpaceDN w:val="0"/>
              <w:adjustRightInd w:val="0"/>
              <w:spacing w:line="360" w:lineRule="auto"/>
              <w:jc w:val="cente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ascii="Times New Roman" w:hAnsi="Times New Roman" w:eastAsia="宋体" w:cs="Times New Roman"/>
                <w:color w:val="auto"/>
                <w:kern w:val="2"/>
                <w:sz w:val="21"/>
                <w:szCs w:val="21"/>
                <w:u w:val="single"/>
                <w:lang w:val="zh-CN"/>
              </w:rPr>
              <w:t>北京资通汇鑫企业管理咨询有限公司</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r>
        <w:rPr>
          <w:rFonts w:hint="eastAsia"/>
          <w:b/>
          <w:color w:val="000000" w:themeColor="text1"/>
          <w:sz w:val="16"/>
          <w:szCs w:val="16"/>
          <w:lang w:val="en-US" w:eastAsia="zh-CN"/>
        </w:rPr>
        <w:t xml:space="preserve"> </w:t>
      </w:r>
      <w:r>
        <w:rPr>
          <w:rFonts w:hint="eastAsia"/>
          <w:b w:val="0"/>
          <w:bCs/>
          <w:color w:val="000000" w:themeColor="text1"/>
          <w:lang w:val="en-US" w:eastAsia="zh-CN"/>
        </w:rPr>
        <w:t>受疫情影响采取远程审核方式，审核发现受限</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4384" behindDoc="0" locked="0" layoutInCell="1" allowOverlap="1">
            <wp:simplePos x="0" y="0"/>
            <wp:positionH relativeFrom="column">
              <wp:posOffset>1508125</wp:posOffset>
            </wp:positionH>
            <wp:positionV relativeFrom="paragraph">
              <wp:posOffset>332105</wp:posOffset>
            </wp:positionV>
            <wp:extent cx="670560" cy="356235"/>
            <wp:effectExtent l="0" t="0" r="0" b="952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670560" cy="35623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25" w:leftChars="-32" w:hanging="42" w:hangingChars="26"/>
        <w:rPr>
          <w:b/>
          <w:color w:val="000000" w:themeColor="text1"/>
          <w:sz w:val="26"/>
          <w:szCs w:val="26"/>
        </w:rPr>
      </w:pPr>
      <w:r>
        <w:rPr>
          <w:rFonts w:hint="eastAsia" w:eastAsiaTheme="minorEastAsia"/>
          <w:b/>
          <w:color w:val="000000" w:themeColor="text1"/>
          <w:sz w:val="16"/>
          <w:szCs w:val="16"/>
          <w:lang w:eastAsia="zh-CN"/>
        </w:rPr>
        <w:drawing>
          <wp:anchor distT="0" distB="0" distL="114300" distR="114300" simplePos="0" relativeHeight="251676672" behindDoc="0" locked="0" layoutInCell="1" allowOverlap="1">
            <wp:simplePos x="0" y="0"/>
            <wp:positionH relativeFrom="column">
              <wp:posOffset>2997200</wp:posOffset>
            </wp:positionH>
            <wp:positionV relativeFrom="paragraph">
              <wp:posOffset>313690</wp:posOffset>
            </wp:positionV>
            <wp:extent cx="885825" cy="762000"/>
            <wp:effectExtent l="0" t="0" r="13335" b="0"/>
            <wp:wrapNone/>
            <wp:docPr id="6" name="图片 6" descr="冯雪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冯雪峥"/>
                    <pic:cNvPicPr>
                      <a:picLocks noChangeAspect="1"/>
                    </pic:cNvPicPr>
                  </pic:nvPicPr>
                  <pic:blipFill>
                    <a:blip r:embed="rId7"/>
                    <a:stretch>
                      <a:fillRect/>
                    </a:stretch>
                  </pic:blipFill>
                  <pic:spPr>
                    <a:xfrm>
                      <a:off x="0" y="0"/>
                      <a:ext cx="885825" cy="762000"/>
                    </a:xfrm>
                    <a:prstGeom prst="rect">
                      <a:avLst/>
                    </a:prstGeom>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402" w:firstLineChars="250"/>
        <w:rPr>
          <w:b/>
          <w:color w:val="000000" w:themeColor="text1"/>
        </w:rPr>
      </w:pPr>
      <w:r>
        <w:rPr>
          <w:rFonts w:hint="eastAsia" w:eastAsiaTheme="minorEastAsia"/>
          <w:b/>
          <w:color w:val="000000" w:themeColor="text1"/>
          <w:sz w:val="16"/>
          <w:szCs w:val="16"/>
          <w:lang w:eastAsia="zh-CN"/>
        </w:rPr>
        <w:drawing>
          <wp:anchor distT="0" distB="0" distL="114300" distR="114300" simplePos="0" relativeHeight="251675648" behindDoc="0" locked="0" layoutInCell="1" allowOverlap="1">
            <wp:simplePos x="0" y="0"/>
            <wp:positionH relativeFrom="column">
              <wp:posOffset>2270760</wp:posOffset>
            </wp:positionH>
            <wp:positionV relativeFrom="paragraph">
              <wp:posOffset>161925</wp:posOffset>
            </wp:positionV>
            <wp:extent cx="610235" cy="276225"/>
            <wp:effectExtent l="0" t="0" r="14605" b="13335"/>
            <wp:wrapNone/>
            <wp:docPr id="5" name="图片 5" descr="曲丽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曲丽娜"/>
                    <pic:cNvPicPr>
                      <a:picLocks noChangeAspect="1"/>
                    </pic:cNvPicPr>
                  </pic:nvPicPr>
                  <pic:blipFill>
                    <a:blip r:embed="rId8"/>
                    <a:stretch>
                      <a:fillRect/>
                    </a:stretch>
                  </pic:blipFill>
                  <pic:spPr>
                    <a:xfrm>
                      <a:off x="0" y="0"/>
                      <a:ext cx="610235" cy="276225"/>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9504" behindDoc="0" locked="0" layoutInCell="1" allowOverlap="1">
            <wp:simplePos x="0" y="0"/>
            <wp:positionH relativeFrom="column">
              <wp:posOffset>1456055</wp:posOffset>
            </wp:positionH>
            <wp:positionV relativeFrom="paragraph">
              <wp:posOffset>20955</wp:posOffset>
            </wp:positionV>
            <wp:extent cx="983615" cy="655955"/>
            <wp:effectExtent l="0" t="0" r="0" b="0"/>
            <wp:wrapNone/>
            <wp:docPr id="4" name="图片 4"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夏楠楠"/>
                    <pic:cNvPicPr>
                      <a:picLocks noChangeAspect="1"/>
                    </pic:cNvPicPr>
                  </pic:nvPicPr>
                  <pic:blipFill>
                    <a:blip r:embed="rId9"/>
                    <a:stretch>
                      <a:fillRect/>
                    </a:stretch>
                  </pic:blipFill>
                  <pic:spPr>
                    <a:xfrm>
                      <a:off x="0" y="0"/>
                      <a:ext cx="983615" cy="65595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EMS(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83840" behindDoc="0" locked="0" layoutInCell="1" allowOverlap="1">
            <wp:simplePos x="0" y="0"/>
            <wp:positionH relativeFrom="column">
              <wp:posOffset>700405</wp:posOffset>
            </wp:positionH>
            <wp:positionV relativeFrom="paragraph">
              <wp:posOffset>97790</wp:posOffset>
            </wp:positionV>
            <wp:extent cx="670560" cy="356235"/>
            <wp:effectExtent l="0" t="0" r="0" b="9525"/>
            <wp:wrapNone/>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6"/>
                    <a:stretch>
                      <a:fillRect/>
                    </a:stretch>
                  </pic:blipFill>
                  <pic:spPr>
                    <a:xfrm>
                      <a:off x="0" y="0"/>
                      <a:ext cx="670560" cy="35623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1</w:t>
      </w:r>
      <w:r>
        <w:rPr>
          <w:rFonts w:hint="eastAsia"/>
          <w:b/>
          <w:color w:val="000000" w:themeColor="text1"/>
          <w:szCs w:val="21"/>
        </w:rPr>
        <w:t>月</w:t>
      </w:r>
      <w:r>
        <w:rPr>
          <w:rFonts w:hint="eastAsia"/>
          <w:b/>
          <w:color w:val="000000" w:themeColor="text1"/>
          <w:szCs w:val="21"/>
          <w:lang w:val="en-US" w:eastAsia="zh-CN"/>
        </w:rPr>
        <w:t>24</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EA12F"/>
    <w:multiLevelType w:val="singleLevel"/>
    <w:tmpl w:val="8B3EA12F"/>
    <w:lvl w:ilvl="0" w:tentative="0">
      <w:start w:val="8"/>
      <w:numFmt w:val="decimal"/>
      <w:suff w:val="space"/>
      <w:lvlText w:val="%1."/>
      <w:lvlJc w:val="left"/>
    </w:lvl>
  </w:abstractNum>
  <w:abstractNum w:abstractNumId="1">
    <w:nsid w:val="25B8165E"/>
    <w:multiLevelType w:val="singleLevel"/>
    <w:tmpl w:val="25B8165E"/>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889BCB"/>
    <w:multiLevelType w:val="singleLevel"/>
    <w:tmpl w:val="5B889BCB"/>
    <w:lvl w:ilvl="0" w:tentative="0">
      <w:start w:val="5"/>
      <w:numFmt w:val="decimal"/>
      <w:suff w:val="space"/>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3818C4"/>
    <w:rsid w:val="457E393F"/>
    <w:rsid w:val="595A2434"/>
    <w:rsid w:val="625D7C71"/>
    <w:rsid w:val="7B2047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2"/>
    <w:unhideWhenUsed/>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uiPriority w:val="99"/>
    <w:rPr>
      <w:rFonts w:ascii="Times New Roman" w:hAnsi="Times New Roman" w:eastAsia="宋体" w:cs="Times New Roman"/>
      <w:sz w:val="18"/>
      <w:szCs w:val="18"/>
    </w:rPr>
  </w:style>
  <w:style w:type="character" w:customStyle="1" w:styleId="13">
    <w:name w:val="页脚 Char"/>
    <w:basedOn w:val="9"/>
    <w:link w:val="5"/>
    <w:uiPriority w:val="99"/>
    <w:rPr>
      <w:rFonts w:ascii="Times New Roman"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2021-01-24T06:33:17Z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