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24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311" w:type="dxa"/>
            <w:vMerge w:val="restart"/>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涉及条款</w:t>
            </w:r>
          </w:p>
        </w:tc>
        <w:tc>
          <w:tcPr>
            <w:tcW w:w="10004"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eastAsia="zh-CN"/>
              </w:rPr>
              <w:t>管理层</w:t>
            </w:r>
            <w:r>
              <w:rPr>
                <w:rFonts w:hint="eastAsia" w:ascii="宋体" w:hAnsi="宋体" w:eastAsia="宋体" w:cs="宋体"/>
                <w:sz w:val="21"/>
                <w:szCs w:val="21"/>
              </w:rPr>
              <w:t xml:space="preserve">  主管领导：</w:t>
            </w:r>
            <w:r>
              <w:rPr>
                <w:rFonts w:hint="eastAsia" w:ascii="宋体" w:hAnsi="宋体" w:eastAsia="宋体" w:cs="宋体"/>
                <w:sz w:val="21"/>
                <w:szCs w:val="21"/>
                <w:lang w:val="en-US" w:eastAsia="zh-CN"/>
              </w:rPr>
              <w:t>董磊</w:t>
            </w:r>
            <w:r>
              <w:rPr>
                <w:rFonts w:hint="eastAsia" w:ascii="宋体" w:hAnsi="宋体" w:eastAsia="宋体" w:cs="宋体"/>
                <w:sz w:val="21"/>
                <w:szCs w:val="21"/>
              </w:rPr>
              <w:t xml:space="preserve">  </w:t>
            </w:r>
            <w:r>
              <w:rPr>
                <w:rFonts w:hint="eastAsia" w:ascii="宋体" w:hAnsi="宋体" w:eastAsia="宋体" w:cs="宋体"/>
                <w:sz w:val="21"/>
                <w:szCs w:val="21"/>
                <w:lang w:eastAsia="zh-CN"/>
              </w:rPr>
              <w:t>远程审核</w:t>
            </w:r>
          </w:p>
        </w:tc>
        <w:tc>
          <w:tcPr>
            <w:tcW w:w="1585" w:type="dxa"/>
            <w:vMerge w:val="restart"/>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240" w:lineRule="auto"/>
              <w:rPr>
                <w:rFonts w:hint="eastAsia" w:ascii="宋体" w:hAnsi="宋体" w:eastAsia="宋体" w:cs="宋体"/>
                <w:sz w:val="21"/>
                <w:szCs w:val="21"/>
              </w:rPr>
            </w:pPr>
          </w:p>
        </w:tc>
        <w:tc>
          <w:tcPr>
            <w:tcW w:w="1311" w:type="dxa"/>
            <w:vMerge w:val="continue"/>
            <w:vAlign w:val="center"/>
          </w:tcPr>
          <w:p>
            <w:pPr>
              <w:spacing w:line="240" w:lineRule="auto"/>
              <w:rPr>
                <w:rFonts w:hint="eastAsia" w:ascii="宋体" w:hAnsi="宋体" w:eastAsia="宋体" w:cs="宋体"/>
                <w:sz w:val="21"/>
                <w:szCs w:val="21"/>
              </w:rPr>
            </w:pPr>
          </w:p>
        </w:tc>
        <w:tc>
          <w:tcPr>
            <w:tcW w:w="10004" w:type="dxa"/>
            <w:vAlign w:val="center"/>
          </w:tcPr>
          <w:p>
            <w:pPr>
              <w:spacing w:before="120" w:line="240" w:lineRule="auto"/>
              <w:rPr>
                <w:rFonts w:hint="eastAsia"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eastAsia="zh-CN"/>
              </w:rPr>
              <w:t>夏楠楠</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审核时间：</w:t>
            </w:r>
            <w:r>
              <w:rPr>
                <w:rFonts w:hint="eastAsia" w:ascii="宋体" w:hAnsi="宋体" w:eastAsia="宋体" w:cs="宋体"/>
                <w:sz w:val="21"/>
                <w:szCs w:val="21"/>
                <w:lang w:val="en-US" w:eastAsia="zh-CN"/>
              </w:rPr>
              <w:t>2021.1.20</w:t>
            </w:r>
          </w:p>
        </w:tc>
        <w:tc>
          <w:tcPr>
            <w:tcW w:w="1585" w:type="dxa"/>
            <w:vMerge w:val="continue"/>
          </w:tcPr>
          <w:p>
            <w:pPr>
              <w:spacing w:line="24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809" w:type="dxa"/>
            <w:vMerge w:val="continue"/>
            <w:vAlign w:val="center"/>
          </w:tcPr>
          <w:p>
            <w:pPr>
              <w:spacing w:line="240" w:lineRule="auto"/>
              <w:rPr>
                <w:rFonts w:hint="eastAsia" w:ascii="宋体" w:hAnsi="宋体" w:eastAsia="宋体" w:cs="宋体"/>
                <w:sz w:val="21"/>
                <w:szCs w:val="21"/>
              </w:rPr>
            </w:pPr>
          </w:p>
        </w:tc>
        <w:tc>
          <w:tcPr>
            <w:tcW w:w="1311" w:type="dxa"/>
            <w:vMerge w:val="continue"/>
            <w:vAlign w:val="center"/>
          </w:tcPr>
          <w:p>
            <w:pPr>
              <w:spacing w:line="240" w:lineRule="auto"/>
              <w:rPr>
                <w:rFonts w:hint="eastAsia" w:ascii="宋体" w:hAnsi="宋体" w:eastAsia="宋体" w:cs="宋体"/>
                <w:sz w:val="21"/>
                <w:szCs w:val="21"/>
              </w:rPr>
            </w:pPr>
          </w:p>
        </w:tc>
        <w:tc>
          <w:tcPr>
            <w:tcW w:w="10004"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管理层：</w:t>
            </w:r>
            <w:r>
              <w:rPr>
                <w:rFonts w:hint="eastAsia" w:ascii="宋体" w:hAnsi="宋体" w:eastAsia="宋体" w:cs="宋体"/>
                <w:b/>
                <w:bCs/>
                <w:sz w:val="21"/>
                <w:szCs w:val="21"/>
              </w:rPr>
              <w:t>资质查验</w:t>
            </w:r>
            <w:r>
              <w:rPr>
                <w:rFonts w:hint="eastAsia" w:ascii="宋体" w:hAnsi="宋体" w:eastAsia="宋体" w:cs="宋体"/>
                <w:sz w:val="21"/>
                <w:szCs w:val="21"/>
              </w:rPr>
              <w:t>；管理体系策划情况，过程识别和策划的充分性（包括外包过程）；确定认证范围包括任何不适用及理由的充分性；体系覆盖人数确认；管理方针和目标的适宜性；内部审核管理评审策划和实施；基础资源条件；</w:t>
            </w:r>
            <w:r>
              <w:rPr>
                <w:rFonts w:hint="eastAsia" w:ascii="宋体" w:hAnsi="宋体" w:eastAsia="宋体" w:cs="宋体"/>
                <w:b/>
                <w:bCs/>
                <w:sz w:val="21"/>
                <w:szCs w:val="21"/>
              </w:rPr>
              <w:t>质量环境安全事故及投诉情况</w:t>
            </w:r>
            <w:r>
              <w:rPr>
                <w:rFonts w:hint="eastAsia" w:ascii="宋体" w:hAnsi="宋体" w:eastAsia="宋体" w:cs="宋体"/>
                <w:sz w:val="21"/>
                <w:szCs w:val="21"/>
              </w:rPr>
              <w:t>；</w:t>
            </w:r>
            <w:bookmarkStart w:id="1" w:name="_GoBack"/>
            <w:bookmarkEnd w:id="1"/>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QEO </w:t>
            </w:r>
            <w:r>
              <w:rPr>
                <w:rFonts w:hint="eastAsia" w:ascii="宋体" w:hAnsi="宋体" w:eastAsia="宋体" w:cs="宋体"/>
                <w:sz w:val="21"/>
                <w:szCs w:val="21"/>
              </w:rPr>
              <w:t>4.1/4.3/4.4/5.2/6.2/7.1</w:t>
            </w:r>
            <w:r>
              <w:rPr>
                <w:rFonts w:hint="eastAsia" w:ascii="宋体" w:hAnsi="宋体" w:eastAsia="宋体" w:cs="宋体"/>
                <w:sz w:val="21"/>
                <w:szCs w:val="21"/>
                <w:lang w:val="en-US" w:eastAsia="zh-CN"/>
              </w:rPr>
              <w:t>/</w:t>
            </w:r>
            <w:r>
              <w:rPr>
                <w:rFonts w:hint="eastAsia" w:ascii="宋体" w:hAnsi="宋体" w:eastAsia="宋体" w:cs="宋体"/>
                <w:sz w:val="21"/>
                <w:szCs w:val="21"/>
              </w:rPr>
              <w:t>9.2/9.3</w:t>
            </w:r>
          </w:p>
        </w:tc>
        <w:tc>
          <w:tcPr>
            <w:tcW w:w="1585" w:type="dxa"/>
            <w:vMerge w:val="continue"/>
          </w:tcPr>
          <w:p>
            <w:pPr>
              <w:spacing w:line="24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09" w:type="dxa"/>
            <w:vAlign w:val="center"/>
          </w:tcPr>
          <w:p>
            <w:pPr>
              <w:spacing w:line="240" w:lineRule="auto"/>
              <w:rPr>
                <w:rFonts w:hint="eastAsia" w:ascii="宋体" w:hAnsi="宋体" w:eastAsia="宋体" w:cs="宋体"/>
                <w:b/>
                <w:sz w:val="21"/>
                <w:szCs w:val="21"/>
              </w:rPr>
            </w:pPr>
            <w:r>
              <w:rPr>
                <w:rFonts w:hint="eastAsia" w:ascii="宋体" w:hAnsi="宋体" w:eastAsia="宋体" w:cs="宋体"/>
                <w:sz w:val="21"/>
                <w:szCs w:val="21"/>
              </w:rPr>
              <w:t>企业基本信息</w:t>
            </w:r>
          </w:p>
        </w:tc>
        <w:tc>
          <w:tcPr>
            <w:tcW w:w="1311" w:type="dxa"/>
            <w:vAlign w:val="center"/>
          </w:tcPr>
          <w:p>
            <w:pPr>
              <w:spacing w:line="240" w:lineRule="auto"/>
              <w:rPr>
                <w:rFonts w:hint="eastAsia" w:ascii="宋体" w:hAnsi="宋体" w:eastAsia="宋体" w:cs="宋体"/>
                <w:b/>
                <w:sz w:val="21"/>
                <w:szCs w:val="21"/>
              </w:rPr>
            </w:pPr>
          </w:p>
        </w:tc>
        <w:tc>
          <w:tcPr>
            <w:tcW w:w="10004" w:type="dxa"/>
            <w:vAlign w:val="center"/>
          </w:tcPr>
          <w:p>
            <w:pPr>
              <w:spacing w:beforeLines="30" w:afterLines="30" w:line="240" w:lineRule="auto"/>
              <w:ind w:firstLine="420" w:firstLineChars="200"/>
              <w:rPr>
                <w:rFonts w:hint="eastAsia"/>
              </w:rPr>
            </w:pPr>
            <w:r>
              <w:rPr>
                <w:rFonts w:hint="eastAsia"/>
                <w:lang w:eastAsia="zh-CN"/>
              </w:rPr>
              <w:t>沟通</w:t>
            </w:r>
            <w:r>
              <w:rPr>
                <w:rFonts w:hint="eastAsia"/>
              </w:rPr>
              <w:t>人员：</w:t>
            </w:r>
            <w:r>
              <w:rPr>
                <w:rFonts w:hint="eastAsia"/>
                <w:lang w:eastAsia="zh-CN"/>
              </w:rPr>
              <w:t>（</w:t>
            </w:r>
            <w:r>
              <w:rPr>
                <w:rFonts w:hint="eastAsia"/>
              </w:rPr>
              <w:t>管代</w:t>
            </w:r>
            <w:r>
              <w:rPr>
                <w:rFonts w:hint="eastAsia"/>
                <w:lang w:eastAsia="zh-CN"/>
              </w:rPr>
              <w:t>）董磊</w:t>
            </w:r>
          </w:p>
          <w:p>
            <w:pPr>
              <w:spacing w:beforeLines="30" w:afterLines="30" w:line="240" w:lineRule="auto"/>
              <w:ind w:firstLine="420" w:firstLineChars="200"/>
              <w:rPr>
                <w:rFonts w:hint="eastAsia"/>
              </w:rPr>
            </w:pPr>
            <w:r>
              <w:rPr>
                <w:rFonts w:hint="eastAsia"/>
              </w:rPr>
              <w:t>营业执照：</w:t>
            </w:r>
            <w:bookmarkStart w:id="0" w:name="组织名称"/>
            <w:r>
              <w:rPr>
                <w:rFonts w:hint="eastAsia"/>
              </w:rPr>
              <w:t>北京资通汇鑫企业管理咨询有限公司</w:t>
            </w:r>
            <w:bookmarkEnd w:id="0"/>
          </w:p>
          <w:p>
            <w:pPr>
              <w:spacing w:beforeLines="30" w:afterLines="30" w:line="240" w:lineRule="auto"/>
              <w:ind w:firstLine="420" w:firstLineChars="200"/>
              <w:rPr>
                <w:rFonts w:hint="eastAsia"/>
                <w:lang w:val="en-US" w:eastAsia="zh-CN"/>
              </w:rPr>
            </w:pPr>
            <w:r>
              <w:rPr>
                <w:rFonts w:hint="eastAsia"/>
              </w:rPr>
              <w:t xml:space="preserve">统一社会信用代码： </w:t>
            </w:r>
            <w:r>
              <w:rPr>
                <w:rFonts w:hint="eastAsia"/>
                <w:lang w:val="en-US" w:eastAsia="zh-CN"/>
              </w:rPr>
              <w:t>9111011533969673XG</w:t>
            </w:r>
          </w:p>
          <w:p>
            <w:pPr>
              <w:spacing w:beforeLines="30" w:afterLines="30" w:line="240" w:lineRule="auto"/>
              <w:ind w:firstLine="420" w:firstLineChars="200"/>
              <w:rPr>
                <w:rFonts w:hint="eastAsia"/>
                <w:lang w:val="en-US" w:eastAsia="zh-CN"/>
              </w:rPr>
            </w:pPr>
            <w:r>
              <w:rPr>
                <w:rFonts w:hint="eastAsia"/>
              </w:rPr>
              <w:t>成立日期：201</w:t>
            </w:r>
            <w:r>
              <w:rPr>
                <w:rFonts w:hint="eastAsia"/>
                <w:lang w:val="en-US" w:eastAsia="zh-CN"/>
              </w:rPr>
              <w:t>5</w:t>
            </w:r>
            <w:r>
              <w:rPr>
                <w:rFonts w:hint="eastAsia"/>
              </w:rPr>
              <w:t>年0</w:t>
            </w:r>
            <w:r>
              <w:rPr>
                <w:rFonts w:hint="eastAsia"/>
                <w:lang w:val="en-US" w:eastAsia="zh-CN"/>
              </w:rPr>
              <w:t>4</w:t>
            </w:r>
            <w:r>
              <w:rPr>
                <w:rFonts w:hint="eastAsia"/>
              </w:rPr>
              <w:t>月</w:t>
            </w:r>
            <w:r>
              <w:rPr>
                <w:rFonts w:hint="eastAsia"/>
                <w:lang w:val="en-US" w:eastAsia="zh-CN"/>
              </w:rPr>
              <w:t>10</w:t>
            </w:r>
            <w:r>
              <w:rPr>
                <w:rFonts w:hint="eastAsia"/>
              </w:rPr>
              <w:t>日     有效期：20</w:t>
            </w:r>
            <w:r>
              <w:rPr>
                <w:rFonts w:hint="eastAsia"/>
                <w:lang w:val="en-US" w:eastAsia="zh-CN"/>
              </w:rPr>
              <w:t>15</w:t>
            </w:r>
            <w:r>
              <w:rPr>
                <w:rFonts w:hint="eastAsia"/>
              </w:rPr>
              <w:t>年0</w:t>
            </w:r>
            <w:r>
              <w:rPr>
                <w:rFonts w:hint="eastAsia"/>
                <w:lang w:val="en-US" w:eastAsia="zh-CN"/>
              </w:rPr>
              <w:t>4</w:t>
            </w:r>
            <w:r>
              <w:rPr>
                <w:rFonts w:hint="eastAsia"/>
              </w:rPr>
              <w:t>月</w:t>
            </w:r>
            <w:r>
              <w:rPr>
                <w:rFonts w:hint="eastAsia"/>
                <w:lang w:val="en-US" w:eastAsia="zh-CN"/>
              </w:rPr>
              <w:t>10</w:t>
            </w:r>
            <w:r>
              <w:rPr>
                <w:rFonts w:hint="eastAsia"/>
              </w:rPr>
              <w:t>日至</w:t>
            </w:r>
            <w:r>
              <w:rPr>
                <w:rFonts w:hint="eastAsia"/>
                <w:lang w:val="en-US" w:eastAsia="zh-CN"/>
              </w:rPr>
              <w:t>2035</w:t>
            </w:r>
            <w:r>
              <w:rPr>
                <w:rFonts w:hint="eastAsia"/>
              </w:rPr>
              <w:t>年0</w:t>
            </w:r>
            <w:r>
              <w:rPr>
                <w:rFonts w:hint="eastAsia"/>
                <w:lang w:val="en-US" w:eastAsia="zh-CN"/>
              </w:rPr>
              <w:t>4</w:t>
            </w:r>
            <w:r>
              <w:rPr>
                <w:rFonts w:hint="eastAsia"/>
              </w:rPr>
              <w:t>月</w:t>
            </w:r>
            <w:r>
              <w:rPr>
                <w:rFonts w:hint="eastAsia"/>
                <w:lang w:val="en-US" w:eastAsia="zh-CN"/>
              </w:rPr>
              <w:t>9</w:t>
            </w:r>
            <w:r>
              <w:rPr>
                <w:rFonts w:hint="eastAsia"/>
              </w:rPr>
              <w:t>日</w:t>
            </w:r>
          </w:p>
          <w:p>
            <w:pPr>
              <w:spacing w:beforeLines="30" w:afterLines="30" w:line="240" w:lineRule="auto"/>
              <w:ind w:firstLine="420" w:firstLineChars="200"/>
              <w:rPr>
                <w:rFonts w:hint="eastAsia"/>
              </w:rPr>
            </w:pPr>
            <w:r>
              <w:rPr>
                <w:rFonts w:hint="eastAsia"/>
              </w:rPr>
              <w:t>法人代表</w:t>
            </w:r>
            <w:r>
              <w:rPr>
                <w:rFonts w:hint="eastAsia"/>
                <w:lang w:eastAsia="zh-CN"/>
              </w:rPr>
              <w:t>杨国明</w:t>
            </w:r>
            <w:r>
              <w:rPr>
                <w:rFonts w:hint="eastAsia"/>
              </w:rPr>
              <w:t>，公司注册资本1000万元。</w:t>
            </w:r>
          </w:p>
          <w:p>
            <w:pPr>
              <w:spacing w:beforeLines="30" w:afterLines="30" w:line="240" w:lineRule="auto"/>
              <w:ind w:firstLine="420" w:firstLineChars="200"/>
              <w:rPr>
                <w:rFonts w:hint="eastAsia"/>
              </w:rPr>
            </w:pPr>
            <w:r>
              <w:rPr>
                <w:rFonts w:hint="eastAsia"/>
              </w:rPr>
              <w:t>注册地址：</w:t>
            </w:r>
            <w:r>
              <w:rPr>
                <w:rFonts w:hint="eastAsia"/>
                <w:lang w:eastAsia="zh-CN"/>
              </w:rPr>
              <w:t>北京市大兴区黄村镇富强路北侧</w:t>
            </w:r>
            <w:r>
              <w:rPr>
                <w:rFonts w:hint="eastAsia"/>
                <w:lang w:val="en-US" w:eastAsia="zh-CN"/>
              </w:rPr>
              <w:t>2幢2层2-5号201</w:t>
            </w:r>
            <w:r>
              <w:rPr>
                <w:rFonts w:hint="eastAsia"/>
              </w:rPr>
              <w:t>。</w:t>
            </w:r>
          </w:p>
          <w:p>
            <w:pPr>
              <w:spacing w:beforeLines="30" w:afterLines="30" w:line="240" w:lineRule="auto"/>
              <w:ind w:firstLine="420" w:firstLineChars="200"/>
              <w:rPr>
                <w:rFonts w:hint="eastAsia"/>
                <w:lang w:eastAsia="zh-CN"/>
              </w:rPr>
            </w:pPr>
            <w:r>
              <w:rPr>
                <w:rFonts w:hint="eastAsia"/>
              </w:rPr>
              <w:t>经营范围：</w:t>
            </w:r>
            <w:r>
              <w:rPr>
                <w:rFonts w:hint="eastAsia"/>
                <w:lang w:eastAsia="zh-CN"/>
              </w:rPr>
              <w:t>企业管理咨询；劳务服务（劳务派遣经营许可证有效期至</w:t>
            </w:r>
            <w:r>
              <w:rPr>
                <w:rFonts w:hint="eastAsia"/>
                <w:lang w:val="en-US" w:eastAsia="zh-CN"/>
              </w:rPr>
              <w:t>2022年10月15日</w:t>
            </w:r>
            <w:r>
              <w:rPr>
                <w:rFonts w:hint="eastAsia"/>
                <w:lang w:eastAsia="zh-CN"/>
              </w:rPr>
              <w:t>）；教育咨询；经贸易咨询（市场主体依法自主选择经营项目，开展经营活动；人力资源服务以及依法须经批准的项目，经有关部门批准后依批准的内容开展经营活动；不得从事国家和本市产业政策禁止和限制类项目的经营活动。）等。</w:t>
            </w:r>
          </w:p>
          <w:p>
            <w:pPr>
              <w:spacing w:beforeLines="30" w:afterLines="30" w:line="240" w:lineRule="auto"/>
              <w:ind w:firstLine="420" w:firstLineChars="200"/>
              <w:rPr>
                <w:rFonts w:hint="eastAsia"/>
              </w:rPr>
            </w:pPr>
            <w:r>
              <w:rPr>
                <w:rFonts w:hint="eastAsia"/>
              </w:rPr>
              <w:t>查国家企业信用信息公示系统，企业无异常经营记录、无违法失信记录。</w:t>
            </w:r>
          </w:p>
          <w:p>
            <w:pPr>
              <w:spacing w:beforeLines="30" w:afterLines="30" w:line="240" w:lineRule="auto"/>
              <w:ind w:firstLine="420" w:firstLineChars="200"/>
              <w:rPr>
                <w:rFonts w:hint="eastAsia"/>
                <w:lang w:eastAsia="zh-CN"/>
              </w:rPr>
            </w:pPr>
            <w:r>
              <w:rPr>
                <w:rFonts w:hint="eastAsia"/>
              </w:rPr>
              <w:t>组织机构：</w:t>
            </w:r>
            <w:r>
              <w:rPr>
                <w:rFonts w:hint="eastAsia"/>
                <w:lang w:eastAsia="zh-CN"/>
              </w:rPr>
              <w:t>管理层、综合部</w:t>
            </w:r>
            <w:r>
              <w:rPr>
                <w:rFonts w:hint="eastAsia"/>
              </w:rPr>
              <w:t>、</w:t>
            </w:r>
            <w:r>
              <w:rPr>
                <w:rFonts w:hint="eastAsia"/>
                <w:lang w:eastAsia="zh-CN"/>
              </w:rPr>
              <w:t>业务部</w:t>
            </w:r>
          </w:p>
          <w:p>
            <w:pPr>
              <w:spacing w:beforeLines="30" w:afterLines="30" w:line="240" w:lineRule="auto"/>
              <w:ind w:firstLine="420" w:firstLineChars="200"/>
              <w:rPr>
                <w:rFonts w:hint="eastAsia"/>
              </w:rPr>
            </w:pPr>
            <w:r>
              <w:rPr>
                <w:rFonts w:hint="eastAsia"/>
              </w:rPr>
              <w:t>查到了企业的营业执照，经营范围包括了认证范围内产品。</w:t>
            </w:r>
          </w:p>
          <w:p>
            <w:pPr>
              <w:pStyle w:val="2"/>
              <w:ind w:firstLine="420" w:firstLineChars="200"/>
              <w:jc w:val="left"/>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提供有劳务派遣经营许可证，许可经营事项：劳务派遣，有效期限：2019年10月16人至2022年10月15日，发证机关：北京市大兴区人力资源和社会保障局，发证日期：2020年9月18日</w:t>
            </w:r>
          </w:p>
          <w:p>
            <w:pPr>
              <w:pStyle w:val="2"/>
              <w:ind w:firstLine="420" w:firstLineChars="200"/>
              <w:jc w:val="left"/>
              <w:rPr>
                <w:rFonts w:hint="default"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提供有人力资源服务许可证，服务范围：为劳动者介绍用人单位、为用人单位推荐劳动者，为用人单位和个人提供职业介绍信息、开展高级人才寻访服务。</w:t>
            </w:r>
            <w:r>
              <w:rPr>
                <w:rFonts w:hint="eastAsia" w:cs="Times New Roman"/>
                <w:kern w:val="2"/>
                <w:sz w:val="21"/>
                <w:szCs w:val="22"/>
                <w:lang w:val="en-US" w:eastAsia="zh-CN" w:bidi="ar-SA"/>
              </w:rPr>
              <w:t>发证机关：北京市大兴区人力资源和社会保障局。发证日期：2020年8月14日，有效期限：2025年8月13日。</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240" w:lineRule="auto"/>
              <w:rPr>
                <w:rFonts w:hint="eastAsia" w:ascii="宋体" w:hAnsi="宋体" w:eastAsia="宋体" w:cs="宋体"/>
                <w:b/>
                <w:sz w:val="21"/>
                <w:szCs w:val="21"/>
              </w:rPr>
            </w:pPr>
            <w:r>
              <w:rPr>
                <w:rFonts w:hint="eastAsia" w:ascii="宋体" w:hAnsi="宋体" w:eastAsia="宋体" w:cs="宋体"/>
                <w:sz w:val="21"/>
                <w:szCs w:val="21"/>
              </w:rPr>
              <w:t>理解组织及其环境</w:t>
            </w:r>
          </w:p>
        </w:tc>
        <w:tc>
          <w:tcPr>
            <w:tcW w:w="1311" w:type="dxa"/>
            <w:vAlign w:val="center"/>
          </w:tcPr>
          <w:p>
            <w:pPr>
              <w:spacing w:line="240" w:lineRule="auto"/>
              <w:rPr>
                <w:rFonts w:hint="eastAsia" w:ascii="宋体" w:hAnsi="宋体" w:eastAsia="宋体" w:cs="宋体"/>
                <w:b/>
                <w:sz w:val="21"/>
                <w:szCs w:val="21"/>
              </w:rPr>
            </w:pPr>
            <w:r>
              <w:rPr>
                <w:rFonts w:hint="eastAsia" w:ascii="宋体" w:hAnsi="宋体" w:eastAsia="宋体" w:cs="宋体"/>
                <w:sz w:val="21"/>
                <w:szCs w:val="21"/>
              </w:rPr>
              <w:t>QEO：4.1</w:t>
            </w:r>
          </w:p>
        </w:tc>
        <w:tc>
          <w:tcPr>
            <w:tcW w:w="10004" w:type="dxa"/>
            <w:vAlign w:val="center"/>
          </w:tcPr>
          <w:p>
            <w:pPr>
              <w:spacing w:beforeLines="30" w:afterLines="30" w:line="240"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b w:val="0"/>
                <w:bCs w:val="0"/>
                <w:sz w:val="21"/>
                <w:szCs w:val="21"/>
              </w:rPr>
              <w:t>北京资通汇鑫企业管理咨询有限公司</w:t>
            </w:r>
            <w:r>
              <w:rPr>
                <w:rFonts w:hint="eastAsia" w:ascii="宋体" w:hAnsi="宋体" w:eastAsia="宋体" w:cs="宋体"/>
                <w:b w:val="0"/>
                <w:bCs w:val="0"/>
                <w:color w:val="000000"/>
                <w:sz w:val="21"/>
                <w:szCs w:val="21"/>
              </w:rPr>
              <w:t>成立于201</w:t>
            </w:r>
            <w:r>
              <w:rPr>
                <w:rFonts w:hint="eastAsia" w:ascii="宋体" w:hAnsi="宋体" w:eastAsia="宋体" w:cs="宋体"/>
                <w:b w:val="0"/>
                <w:bCs w:val="0"/>
                <w:color w:val="000000"/>
                <w:sz w:val="21"/>
                <w:szCs w:val="21"/>
                <w:lang w:val="en-US" w:eastAsia="zh-CN"/>
              </w:rPr>
              <w:t>5</w:t>
            </w:r>
            <w:r>
              <w:rPr>
                <w:rFonts w:hint="eastAsia" w:ascii="宋体" w:hAnsi="宋体" w:eastAsia="宋体" w:cs="宋体"/>
                <w:b w:val="0"/>
                <w:bCs w:val="0"/>
                <w:color w:val="000000"/>
                <w:sz w:val="21"/>
                <w:szCs w:val="21"/>
              </w:rPr>
              <w:t>年</w:t>
            </w:r>
            <w:r>
              <w:rPr>
                <w:rFonts w:hint="eastAsia" w:ascii="宋体" w:hAnsi="宋体" w:eastAsia="宋体" w:cs="宋体"/>
                <w:b w:val="0"/>
                <w:bCs w:val="0"/>
                <w:color w:val="000000"/>
                <w:sz w:val="21"/>
                <w:szCs w:val="21"/>
                <w:lang w:val="en-US" w:eastAsia="zh-CN"/>
              </w:rPr>
              <w:t>4</w:t>
            </w:r>
            <w:r>
              <w:rPr>
                <w:rFonts w:hint="eastAsia" w:ascii="宋体" w:hAnsi="宋体" w:eastAsia="宋体" w:cs="宋体"/>
                <w:b w:val="0"/>
                <w:bCs w:val="0"/>
                <w:color w:val="000000"/>
                <w:sz w:val="21"/>
                <w:szCs w:val="21"/>
              </w:rPr>
              <w:t>月</w:t>
            </w:r>
            <w:r>
              <w:rPr>
                <w:rFonts w:hint="eastAsia" w:ascii="宋体" w:hAnsi="宋体" w:eastAsia="宋体" w:cs="宋体"/>
                <w:b w:val="0"/>
                <w:bCs w:val="0"/>
                <w:color w:val="000000"/>
                <w:sz w:val="21"/>
                <w:szCs w:val="21"/>
                <w:lang w:val="en-US" w:eastAsia="zh-CN"/>
              </w:rPr>
              <w:t>10</w:t>
            </w:r>
            <w:r>
              <w:rPr>
                <w:rFonts w:hint="eastAsia" w:ascii="宋体" w:hAnsi="宋体" w:eastAsia="宋体" w:cs="宋体"/>
                <w:b w:val="0"/>
                <w:bCs w:val="0"/>
                <w:color w:val="000000"/>
                <w:sz w:val="21"/>
                <w:szCs w:val="21"/>
              </w:rPr>
              <w:t>日,注册资金1000万元，位于</w:t>
            </w:r>
            <w:r>
              <w:rPr>
                <w:rFonts w:hint="eastAsia" w:ascii="宋体" w:hAnsi="宋体" w:eastAsia="宋体" w:cs="宋体"/>
                <w:b w:val="0"/>
                <w:bCs w:val="0"/>
                <w:sz w:val="21"/>
                <w:szCs w:val="21"/>
                <w:lang w:eastAsia="zh-CN"/>
              </w:rPr>
              <w:t>北京市大兴区黄村镇富强路北侧</w:t>
            </w:r>
            <w:r>
              <w:rPr>
                <w:rFonts w:hint="eastAsia" w:ascii="宋体" w:hAnsi="宋体" w:eastAsia="宋体" w:cs="宋体"/>
                <w:b w:val="0"/>
                <w:bCs w:val="0"/>
                <w:sz w:val="21"/>
                <w:szCs w:val="21"/>
                <w:lang w:val="en-US" w:eastAsia="zh-CN"/>
              </w:rPr>
              <w:t>2幢2层2-5号201</w:t>
            </w:r>
            <w:r>
              <w:rPr>
                <w:rFonts w:hint="eastAsia" w:ascii="宋体" w:hAnsi="宋体" w:eastAsia="宋体" w:cs="宋体"/>
                <w:b w:val="0"/>
                <w:bCs w:val="0"/>
                <w:color w:val="000000"/>
                <w:sz w:val="21"/>
                <w:szCs w:val="21"/>
              </w:rPr>
              <w:t>。主要从事</w:t>
            </w:r>
            <w:r>
              <w:rPr>
                <w:rFonts w:hint="eastAsia" w:ascii="宋体" w:hAnsi="宋体" w:eastAsia="宋体" w:cs="宋体"/>
                <w:b w:val="0"/>
                <w:bCs w:val="0"/>
                <w:color w:val="000000"/>
                <w:sz w:val="21"/>
                <w:szCs w:val="21"/>
                <w:lang w:eastAsia="zh-CN"/>
              </w:rPr>
              <w:t>许可范围内劳务派遣、人力资源</w:t>
            </w:r>
            <w:r>
              <w:rPr>
                <w:rFonts w:hint="eastAsia" w:ascii="宋体" w:hAnsi="宋体" w:eastAsia="宋体" w:cs="宋体"/>
                <w:b w:val="0"/>
                <w:bCs w:val="0"/>
                <w:color w:val="000000"/>
                <w:sz w:val="21"/>
                <w:szCs w:val="21"/>
              </w:rPr>
              <w:t>，企业类型为有限责任公司，法定代表人</w:t>
            </w:r>
            <w:r>
              <w:rPr>
                <w:rFonts w:hint="eastAsia" w:ascii="宋体" w:hAnsi="宋体" w:eastAsia="宋体" w:cs="宋体"/>
                <w:b w:val="0"/>
                <w:bCs w:val="0"/>
                <w:color w:val="000000"/>
                <w:sz w:val="21"/>
                <w:szCs w:val="21"/>
                <w:lang w:eastAsia="zh-CN"/>
              </w:rPr>
              <w:t>杨国明</w:t>
            </w:r>
            <w:r>
              <w:rPr>
                <w:rFonts w:hint="eastAsia" w:ascii="宋体" w:hAnsi="宋体" w:eastAsia="宋体" w:cs="宋体"/>
                <w:b w:val="0"/>
                <w:bCs w:val="0"/>
                <w:color w:val="000000"/>
                <w:sz w:val="21"/>
                <w:szCs w:val="21"/>
              </w:rPr>
              <w:t>。公司大力推广与国际环保惯例接轨的ISO管理体系，进一步提升公司的产品质量、服务水平、社会责任，同时为进一步提升公司的品牌形象奠定基础。</w:t>
            </w:r>
            <w:r>
              <w:rPr>
                <w:rFonts w:hint="eastAsia" w:ascii="宋体" w:hAnsi="宋体" w:eastAsia="宋体" w:cs="宋体"/>
                <w:b w:val="0"/>
                <w:bCs w:val="0"/>
                <w:color w:val="000000"/>
                <w:sz w:val="21"/>
                <w:szCs w:val="21"/>
                <w:lang w:eastAsia="zh-CN"/>
              </w:rPr>
              <w:t>经历多年发展，公司</w:t>
            </w:r>
            <w:r>
              <w:rPr>
                <w:rFonts w:hint="eastAsia" w:ascii="宋体" w:hAnsi="宋体" w:eastAsia="宋体" w:cs="宋体"/>
                <w:b w:val="0"/>
                <w:bCs w:val="0"/>
                <w:color w:val="000000"/>
                <w:sz w:val="21"/>
                <w:szCs w:val="21"/>
                <w:shd w:val="clear" w:color="auto" w:fill="FFFFFF"/>
              </w:rPr>
              <w:t>始终坚持以人才为本、诚信立业的经营原则，荟萃业界精英，将质量优秀的产品及先进的信息技术、管理方法及企业经验与业内企业的具体实际相结合，为企业提供全方位的解决方案，帮助企业提高管理水平和服务能力，使企业在激烈的市场竞争中始终保持竞争力，实现企业快速、稳定地发展</w:t>
            </w:r>
            <w:r>
              <w:rPr>
                <w:rFonts w:hint="eastAsia" w:ascii="宋体" w:hAnsi="宋体" w:eastAsia="宋体" w:cs="宋体"/>
                <w:b w:val="0"/>
                <w:bCs w:val="0"/>
                <w:color w:val="000000"/>
                <w:sz w:val="21"/>
                <w:szCs w:val="21"/>
                <w:shd w:val="clear" w:color="auto" w:fill="FFFFFF"/>
                <w:lang w:eastAsia="zh-CN"/>
              </w:rPr>
              <w:t>，</w:t>
            </w:r>
            <w:r>
              <w:rPr>
                <w:rFonts w:hint="eastAsia" w:ascii="宋体" w:hAnsi="宋体" w:eastAsia="宋体" w:cs="宋体"/>
                <w:b w:val="0"/>
                <w:bCs w:val="0"/>
                <w:color w:val="000000"/>
                <w:sz w:val="21"/>
                <w:szCs w:val="21"/>
                <w:lang w:eastAsia="zh-CN"/>
              </w:rPr>
              <w:t>成为同行业的优秀代表。</w:t>
            </w:r>
          </w:p>
          <w:p>
            <w:pPr>
              <w:spacing w:beforeLines="30" w:afterLines="30"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公司现有员工</w:t>
            </w:r>
            <w:r>
              <w:rPr>
                <w:rFonts w:hint="eastAsia" w:ascii="宋体" w:hAnsi="宋体" w:eastAsia="宋体" w:cs="宋体"/>
                <w:color w:val="000000"/>
                <w:sz w:val="21"/>
                <w:szCs w:val="21"/>
                <w:lang w:val="en-US" w:eastAsia="zh-CN"/>
              </w:rPr>
              <w:t>15</w:t>
            </w:r>
            <w:r>
              <w:rPr>
                <w:rFonts w:hint="eastAsia" w:ascii="宋体" w:hAnsi="宋体" w:eastAsia="宋体" w:cs="宋体"/>
                <w:color w:val="000000"/>
                <w:sz w:val="21"/>
                <w:szCs w:val="21"/>
              </w:rPr>
              <w:t>人，下设</w:t>
            </w:r>
            <w:r>
              <w:rPr>
                <w:rFonts w:hint="eastAsia" w:ascii="宋体" w:hAnsi="宋体" w:eastAsia="宋体" w:cs="宋体"/>
                <w:color w:val="000000"/>
                <w:sz w:val="21"/>
                <w:szCs w:val="21"/>
                <w:lang w:eastAsia="zh-CN"/>
              </w:rPr>
              <w:t>综合</w:t>
            </w:r>
            <w:r>
              <w:rPr>
                <w:rFonts w:hint="eastAsia" w:ascii="宋体" w:hAnsi="宋体" w:eastAsia="宋体" w:cs="宋体"/>
                <w:color w:val="000000"/>
                <w:sz w:val="21"/>
                <w:szCs w:val="21"/>
              </w:rPr>
              <w:t>部、</w:t>
            </w:r>
            <w:r>
              <w:rPr>
                <w:rFonts w:hint="eastAsia" w:ascii="宋体" w:hAnsi="宋体" w:eastAsia="宋体" w:cs="宋体"/>
                <w:color w:val="000000"/>
                <w:sz w:val="21"/>
                <w:szCs w:val="21"/>
                <w:lang w:eastAsia="zh-CN"/>
              </w:rPr>
              <w:t>业务部</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部门划分尚可，基本满足要求</w:t>
            </w:r>
            <w:r>
              <w:rPr>
                <w:rFonts w:hint="eastAsia" w:ascii="宋体" w:hAnsi="宋体" w:eastAsia="宋体" w:cs="宋体"/>
                <w:color w:val="000000"/>
                <w:sz w:val="21"/>
                <w:szCs w:val="21"/>
              </w:rPr>
              <w:t>。</w:t>
            </w:r>
          </w:p>
          <w:p>
            <w:pPr>
              <w:spacing w:beforeLines="30" w:afterLines="30"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公司每年根据由公司销售人员从市场、客户、网络等搜集到的信息并结合公司自身业务运作情况进行分析，通过分析对这些内部和外部因素的相关信息进行监视和评审以确保其充分和适宜。</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809"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质量/环境/职业健康安全/职业健康安全管理体系的范围</w:t>
            </w:r>
          </w:p>
        </w:tc>
        <w:tc>
          <w:tcPr>
            <w:tcW w:w="1311" w:type="dxa"/>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QEO：4.3 </w:t>
            </w:r>
          </w:p>
        </w:tc>
        <w:tc>
          <w:tcPr>
            <w:tcW w:w="10004" w:type="dxa"/>
            <w:vAlign w:val="center"/>
          </w:tcPr>
          <w:p>
            <w:pPr>
              <w:spacing w:beforeLines="30" w:afterLines="30" w:line="24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公司管理体系范围：</w:t>
            </w:r>
          </w:p>
          <w:p>
            <w:pPr>
              <w:spacing w:beforeLines="30" w:afterLines="30" w:line="240" w:lineRule="auto"/>
              <w:ind w:firstLine="420" w:firstLineChars="20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Q：</w:t>
            </w:r>
            <w:r>
              <w:rPr>
                <w:rFonts w:hint="eastAsia" w:ascii="宋体" w:hAnsi="宋体" w:eastAsia="宋体" w:cs="宋体"/>
                <w:sz w:val="21"/>
                <w:szCs w:val="21"/>
              </w:rPr>
              <w:t>许可范围内劳务派遣、人力资源</w:t>
            </w:r>
            <w:r>
              <w:rPr>
                <w:rFonts w:hint="eastAsia" w:ascii="宋体" w:hAnsi="宋体" w:eastAsia="宋体" w:cs="宋体"/>
                <w:sz w:val="21"/>
                <w:szCs w:val="21"/>
                <w:lang w:eastAsia="zh-CN"/>
              </w:rPr>
              <w:t>；</w:t>
            </w:r>
          </w:p>
          <w:p>
            <w:pPr>
              <w:spacing w:beforeLines="30" w:afterLines="30" w:line="240" w:lineRule="auto"/>
              <w:ind w:firstLine="420" w:firstLineChars="20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E：</w:t>
            </w:r>
            <w:r>
              <w:rPr>
                <w:rFonts w:hint="eastAsia" w:ascii="宋体" w:hAnsi="宋体" w:eastAsia="宋体" w:cs="宋体"/>
                <w:sz w:val="21"/>
                <w:szCs w:val="21"/>
              </w:rPr>
              <w:t>许可范围内劳务派遣、人力资源</w:t>
            </w:r>
            <w:r>
              <w:rPr>
                <w:rFonts w:hint="eastAsia" w:ascii="宋体" w:hAnsi="宋体" w:eastAsia="宋体" w:cs="宋体"/>
                <w:color w:val="000000"/>
                <w:sz w:val="21"/>
                <w:szCs w:val="21"/>
              </w:rPr>
              <w:t>所涉及场所的相关环境管理活动</w:t>
            </w:r>
            <w:r>
              <w:rPr>
                <w:rFonts w:hint="eastAsia" w:ascii="宋体" w:hAnsi="宋体" w:eastAsia="宋体" w:cs="宋体"/>
                <w:color w:val="000000"/>
                <w:sz w:val="21"/>
                <w:szCs w:val="21"/>
                <w:lang w:eastAsia="zh-CN"/>
              </w:rPr>
              <w:t>；</w:t>
            </w:r>
          </w:p>
          <w:p>
            <w:pPr>
              <w:spacing w:beforeLines="30" w:afterLines="30" w:line="240" w:lineRule="auto"/>
              <w:ind w:firstLine="420" w:firstLineChars="20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O：</w:t>
            </w:r>
            <w:r>
              <w:rPr>
                <w:rFonts w:hint="eastAsia" w:ascii="宋体" w:hAnsi="宋体" w:eastAsia="宋体" w:cs="宋体"/>
                <w:sz w:val="21"/>
                <w:szCs w:val="21"/>
              </w:rPr>
              <w:t>许可范围内劳务派遣、人力资源</w:t>
            </w:r>
            <w:r>
              <w:rPr>
                <w:rFonts w:hint="eastAsia" w:ascii="宋体" w:hAnsi="宋体" w:eastAsia="宋体" w:cs="宋体"/>
                <w:color w:val="000000"/>
                <w:sz w:val="21"/>
                <w:szCs w:val="21"/>
              </w:rPr>
              <w:t>所涉及场所的相关职业健康安全管理活动</w:t>
            </w:r>
            <w:r>
              <w:rPr>
                <w:rFonts w:hint="eastAsia" w:ascii="宋体" w:hAnsi="宋体" w:eastAsia="宋体" w:cs="宋体"/>
                <w:color w:val="000000"/>
                <w:sz w:val="21"/>
                <w:szCs w:val="21"/>
                <w:lang w:eastAsia="zh-CN"/>
              </w:rPr>
              <w:t>。</w:t>
            </w:r>
          </w:p>
          <w:p>
            <w:pPr>
              <w:spacing w:beforeLines="30" w:afterLines="30" w:line="24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不适用条款：</w:t>
            </w:r>
            <w:r>
              <w:rPr>
                <w:rFonts w:hint="eastAsia" w:ascii="宋体" w:hAnsi="宋体" w:eastAsia="宋体" w:cs="宋体"/>
                <w:color w:val="000000"/>
                <w:sz w:val="21"/>
                <w:szCs w:val="21"/>
                <w:lang w:val="en-US" w:eastAsia="zh-CN"/>
              </w:rPr>
              <w:t>Q8.3(</w:t>
            </w:r>
            <w:r>
              <w:rPr>
                <w:rFonts w:hint="eastAsia" w:ascii="宋体" w:hAnsi="宋体" w:eastAsia="宋体" w:cs="宋体"/>
                <w:color w:val="000000"/>
                <w:sz w:val="21"/>
                <w:szCs w:val="21"/>
              </w:rPr>
              <w:t>根据本公司业务特点，公司</w:t>
            </w:r>
            <w:r>
              <w:rPr>
                <w:rFonts w:hint="eastAsia" w:ascii="宋体" w:hAnsi="宋体" w:eastAsia="宋体" w:cs="宋体"/>
                <w:color w:val="000000"/>
                <w:sz w:val="21"/>
                <w:szCs w:val="21"/>
                <w:lang w:eastAsia="zh-CN"/>
              </w:rPr>
              <w:t>许可范围内劳务派遣、人力资源</w:t>
            </w:r>
            <w:r>
              <w:rPr>
                <w:rFonts w:hint="eastAsia" w:ascii="宋体" w:hAnsi="宋体" w:eastAsia="宋体" w:cs="宋体"/>
                <w:color w:val="000000"/>
                <w:sz w:val="21"/>
                <w:szCs w:val="21"/>
              </w:rPr>
              <w:t>过程不涉及设计开发，故删除8.3条款，不影响体系运行的实施</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w:t>
            </w:r>
          </w:p>
          <w:p>
            <w:pPr>
              <w:spacing w:beforeLines="30" w:afterLines="30"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经确认公司无外包过程。</w:t>
            </w:r>
          </w:p>
          <w:p>
            <w:pPr>
              <w:spacing w:beforeLines="30" w:afterLines="30" w:line="240" w:lineRule="auto"/>
              <w:ind w:firstLine="420" w:firstLineChars="200"/>
              <w:rPr>
                <w:rFonts w:hint="eastAsia" w:ascii="宋体" w:hAnsi="宋体" w:eastAsia="宋体" w:cs="宋体"/>
                <w:color w:val="FF0000"/>
                <w:sz w:val="21"/>
                <w:szCs w:val="21"/>
              </w:rPr>
            </w:pPr>
            <w:r>
              <w:rPr>
                <w:rFonts w:hint="eastAsia" w:ascii="宋体" w:hAnsi="宋体" w:eastAsia="宋体" w:cs="宋体"/>
                <w:color w:val="auto"/>
                <w:sz w:val="21"/>
                <w:szCs w:val="21"/>
              </w:rPr>
              <w:t>体系自运行以来范围没有变化。</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809"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质量/环境/职业健康安全管理体系及其过程</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QEO：4.4  </w:t>
            </w:r>
          </w:p>
        </w:tc>
        <w:tc>
          <w:tcPr>
            <w:tcW w:w="10004" w:type="dxa"/>
            <w:vAlign w:val="center"/>
          </w:tcPr>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公司按照 GB/T19001-2016 和 GB/T24001-2016、</w:t>
            </w:r>
            <w:r>
              <w:rPr>
                <w:rFonts w:hint="eastAsia" w:ascii="宋体" w:hAnsi="宋体" w:eastAsia="宋体" w:cs="宋体"/>
                <w:color w:val="000000"/>
                <w:sz w:val="21"/>
                <w:szCs w:val="21"/>
                <w:lang w:val="zh-CN"/>
              </w:rPr>
              <w:t>GB/T45001-2020</w:t>
            </w:r>
            <w:r>
              <w:rPr>
                <w:rFonts w:hint="eastAsia" w:ascii="宋体" w:hAnsi="宋体" w:eastAsia="宋体" w:cs="宋体"/>
                <w:sz w:val="21"/>
                <w:szCs w:val="21"/>
              </w:rPr>
              <w:t>标准的要求识别了质量/环境/职业健康安全管理所需的过程及相互作用，识别了质量和环境、职业健康安全管理体系涉及的各个过程：</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a) 确定这些过程所需的输入和期望的输出；</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b) 确定这些过程的顺序和相互作用；</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c)</w:t>
            </w:r>
            <w:r>
              <w:rPr>
                <w:rFonts w:hint="eastAsia" w:ascii="宋体" w:hAnsi="宋体" w:eastAsia="宋体" w:cs="宋体"/>
                <w:color w:val="000000"/>
                <w:sz w:val="21"/>
                <w:szCs w:val="21"/>
                <w:lang w:val="zh-CN"/>
              </w:rPr>
              <w:t>确定和应用所需的准则和方法（包括监视、测量和相关绩效指标），以确保这些过程的运行和有效控制；</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d) 规定了每个过程所需的资源；</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e) 规定与这些过程相关的责任和权限；</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f) </w:t>
            </w:r>
            <w:r>
              <w:rPr>
                <w:rFonts w:hint="eastAsia" w:ascii="宋体" w:hAnsi="宋体" w:eastAsia="宋体" w:cs="宋体"/>
                <w:color w:val="000000"/>
                <w:sz w:val="21"/>
                <w:szCs w:val="21"/>
                <w:lang w:val="zh-CN"/>
              </w:rPr>
              <w:t>应对按照6.1的要求所确定的风险和机遇；</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g) 对这些过程进行了评价，暂无所需的变更；</w:t>
            </w:r>
          </w:p>
          <w:p>
            <w:pPr>
              <w:autoSpaceDE w:val="0"/>
              <w:autoSpaceDN w:val="0"/>
              <w:adjustRightInd w:val="0"/>
              <w:spacing w:line="240" w:lineRule="auto"/>
              <w:ind w:firstLine="420" w:firstLineChars="200"/>
              <w:rPr>
                <w:rFonts w:hint="eastAsia" w:ascii="宋体" w:hAnsi="宋体" w:eastAsia="宋体" w:cs="宋体"/>
                <w:color w:val="000000"/>
                <w:sz w:val="21"/>
                <w:szCs w:val="21"/>
                <w:lang w:val="zh-CN"/>
              </w:rPr>
            </w:pPr>
            <w:r>
              <w:rPr>
                <w:rFonts w:hint="eastAsia" w:ascii="宋体" w:hAnsi="宋体" w:eastAsia="宋体" w:cs="宋体"/>
                <w:sz w:val="21"/>
                <w:szCs w:val="21"/>
              </w:rPr>
              <w:t xml:space="preserve">h) </w:t>
            </w:r>
            <w:r>
              <w:rPr>
                <w:rFonts w:hint="eastAsia" w:ascii="宋体" w:hAnsi="宋体" w:eastAsia="宋体" w:cs="宋体"/>
                <w:color w:val="000000"/>
                <w:sz w:val="21"/>
                <w:szCs w:val="21"/>
                <w:lang w:val="zh-CN"/>
              </w:rPr>
              <w:t>改进过程和质量/环境/职业健康安全管理体系；</w:t>
            </w:r>
          </w:p>
          <w:p>
            <w:pPr>
              <w:spacing w:beforeLines="30" w:afterLines="30"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K）</w:t>
            </w:r>
            <w:r>
              <w:rPr>
                <w:rFonts w:hint="eastAsia" w:ascii="宋体" w:hAnsi="宋体" w:eastAsia="宋体" w:cs="宋体"/>
                <w:color w:val="000000"/>
                <w:sz w:val="21"/>
                <w:szCs w:val="21"/>
                <w:lang w:val="zh-CN"/>
              </w:rPr>
              <w:t>建立保持环境/职业健康安全管理体系时，应该考虑在4.1和4.2中获得的知识。</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公司按照标准建立了文件化的质量/环境/职业健康安全管理体系，编制了质量</w:t>
            </w:r>
            <w:r>
              <w:rPr>
                <w:rFonts w:hint="eastAsia" w:ascii="宋体" w:hAnsi="宋体" w:eastAsia="宋体" w:cs="宋体"/>
                <w:sz w:val="21"/>
                <w:szCs w:val="21"/>
                <w:lang w:eastAsia="zh-CN"/>
              </w:rPr>
              <w:t>、</w:t>
            </w:r>
            <w:r>
              <w:rPr>
                <w:rFonts w:hint="eastAsia" w:ascii="宋体" w:hAnsi="宋体" w:eastAsia="宋体" w:cs="宋体"/>
                <w:sz w:val="21"/>
                <w:szCs w:val="21"/>
              </w:rPr>
              <w:t>环境</w:t>
            </w:r>
            <w:r>
              <w:rPr>
                <w:rFonts w:hint="eastAsia" w:ascii="宋体" w:hAnsi="宋体" w:eastAsia="宋体" w:cs="宋体"/>
                <w:sz w:val="21"/>
                <w:szCs w:val="21"/>
                <w:lang w:eastAsia="zh-CN"/>
              </w:rPr>
              <w:t>、</w:t>
            </w:r>
            <w:r>
              <w:rPr>
                <w:rFonts w:hint="eastAsia" w:ascii="宋体" w:hAnsi="宋体" w:eastAsia="宋体" w:cs="宋体"/>
                <w:sz w:val="21"/>
                <w:szCs w:val="21"/>
              </w:rPr>
              <w:t>职业健康安全手册，流程性文件、管理制度等；并对各个过程的监控进行了记录，形成了相关文件化信息，为过程运行提供了支持，以证实过程按照策划执行。</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09"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方针</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QEO：5.2 </w:t>
            </w:r>
          </w:p>
        </w:tc>
        <w:tc>
          <w:tcPr>
            <w:tcW w:w="10004" w:type="dxa"/>
            <w:vAlign w:val="center"/>
          </w:tcPr>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公司的质量、环境、职业健康安全方针：</w:t>
            </w:r>
          </w:p>
          <w:p>
            <w:pPr>
              <w:autoSpaceDE w:val="0"/>
              <w:autoSpaceDN w:val="0"/>
              <w:adjustRightInd w:val="0"/>
              <w:spacing w:line="240" w:lineRule="auto"/>
              <w:ind w:left="578" w:leftChars="275" w:firstLine="102" w:firstLineChars="49"/>
              <w:rPr>
                <w:rFonts w:hint="eastAsia" w:ascii="宋体" w:hAnsi="宋体" w:eastAsia="宋体" w:cs="宋体"/>
                <w:color w:val="000000"/>
                <w:sz w:val="21"/>
                <w:szCs w:val="21"/>
              </w:rPr>
            </w:pPr>
            <w:r>
              <w:rPr>
                <w:rFonts w:hint="eastAsia" w:ascii="宋体" w:hAnsi="宋体" w:eastAsia="宋体" w:cs="宋体"/>
                <w:color w:val="000000"/>
                <w:sz w:val="21"/>
                <w:szCs w:val="21"/>
              </w:rPr>
              <w:t>守法诚信追求质量，预防污染保护环境；</w:t>
            </w:r>
          </w:p>
          <w:p>
            <w:pPr>
              <w:autoSpaceDE w:val="0"/>
              <w:autoSpaceDN w:val="0"/>
              <w:adjustRightInd w:val="0"/>
              <w:spacing w:line="240" w:lineRule="auto"/>
              <w:ind w:left="578" w:leftChars="275" w:firstLine="102" w:firstLineChars="49"/>
              <w:rPr>
                <w:rFonts w:hint="eastAsia" w:ascii="宋体" w:hAnsi="宋体" w:eastAsia="宋体" w:cs="宋体"/>
                <w:color w:val="000000"/>
                <w:sz w:val="21"/>
                <w:szCs w:val="21"/>
              </w:rPr>
            </w:pPr>
            <w:r>
              <w:rPr>
                <w:rFonts w:hint="eastAsia" w:ascii="宋体" w:hAnsi="宋体" w:eastAsia="宋体" w:cs="宋体"/>
                <w:color w:val="000000"/>
                <w:sz w:val="21"/>
                <w:szCs w:val="21"/>
              </w:rPr>
              <w:t>关爱员工健康安全，持续改进追求卓越。</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经查，质量、环境、职业健康安全管理方针没有变化。</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09"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目标和措施计划（管理方案）</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QEO：6.2  </w:t>
            </w:r>
          </w:p>
        </w:tc>
        <w:tc>
          <w:tcPr>
            <w:tcW w:w="10004" w:type="dxa"/>
            <w:vAlign w:val="center"/>
          </w:tcPr>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beforeLines="30" w:afterLines="3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管理目标：</w:t>
            </w:r>
          </w:p>
          <w:p>
            <w:pPr>
              <w:spacing w:beforeLines="30" w:afterLines="3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一、质量目标：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完成情况</w:t>
            </w:r>
          </w:p>
          <w:p>
            <w:pPr>
              <w:spacing w:beforeLines="30" w:afterLines="3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服务质量</w:t>
            </w:r>
            <w:r>
              <w:rPr>
                <w:rFonts w:hint="eastAsia" w:ascii="宋体" w:hAnsi="宋体" w:eastAsia="宋体" w:cs="宋体"/>
                <w:sz w:val="21"/>
                <w:szCs w:val="21"/>
              </w:rPr>
              <w:t>合格率</w:t>
            </w:r>
            <w:r>
              <w:rPr>
                <w:rFonts w:hint="eastAsia" w:ascii="宋体" w:hAnsi="宋体" w:eastAsia="宋体" w:cs="宋体"/>
                <w:sz w:val="21"/>
                <w:szCs w:val="21"/>
                <w:lang w:val="en-US" w:eastAsia="zh-CN"/>
              </w:rPr>
              <w:t>100</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100%</w:t>
            </w:r>
          </w:p>
          <w:p>
            <w:pPr>
              <w:spacing w:beforeLines="30" w:afterLines="30"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2、顾客满意</w:t>
            </w:r>
            <w:r>
              <w:rPr>
                <w:rFonts w:hint="eastAsia" w:ascii="宋体" w:hAnsi="宋体" w:eastAsia="宋体" w:cs="宋体"/>
                <w:sz w:val="21"/>
                <w:szCs w:val="21"/>
                <w:lang w:eastAsia="zh-CN"/>
              </w:rPr>
              <w:t>率</w:t>
            </w:r>
            <w:r>
              <w:rPr>
                <w:rFonts w:hint="eastAsia" w:ascii="宋体" w:hAnsi="宋体" w:eastAsia="宋体" w:cs="宋体"/>
                <w:sz w:val="21"/>
                <w:szCs w:val="21"/>
              </w:rPr>
              <w:t>9</w:t>
            </w:r>
            <w:r>
              <w:rPr>
                <w:rFonts w:hint="eastAsia" w:ascii="宋体" w:hAnsi="宋体" w:eastAsia="宋体" w:cs="宋体"/>
                <w:sz w:val="21"/>
                <w:szCs w:val="21"/>
                <w:lang w:val="en-US" w:eastAsia="zh-CN"/>
              </w:rPr>
              <w:t>6%以上</w:t>
            </w:r>
            <w:r>
              <w:rPr>
                <w:rFonts w:hint="eastAsia" w:ascii="宋体" w:hAnsi="宋体" w:eastAsia="宋体" w:cs="宋体"/>
                <w:sz w:val="21"/>
                <w:szCs w:val="21"/>
              </w:rPr>
              <w:t xml:space="preserve">                                   </w:t>
            </w:r>
            <w:r>
              <w:rPr>
                <w:rFonts w:hint="eastAsia" w:ascii="宋体" w:hAnsi="宋体" w:eastAsia="宋体" w:cs="宋体"/>
                <w:b/>
                <w:bCs/>
                <w:sz w:val="21"/>
                <w:szCs w:val="21"/>
              </w:rPr>
              <w:t xml:space="preserve"> </w:t>
            </w:r>
            <w:r>
              <w:rPr>
                <w:rFonts w:hint="eastAsia" w:ascii="宋体" w:hAnsi="宋体" w:eastAsia="宋体" w:cs="宋体"/>
                <w:b/>
                <w:bCs/>
                <w:color w:val="auto"/>
                <w:sz w:val="21"/>
                <w:szCs w:val="21"/>
              </w:rPr>
              <w:t xml:space="preserve"> </w:t>
            </w:r>
            <w:r>
              <w:rPr>
                <w:rFonts w:hint="eastAsia" w:ascii="宋体" w:hAnsi="宋体" w:eastAsia="宋体" w:cs="宋体"/>
                <w:b w:val="0"/>
                <w:bCs w:val="0"/>
                <w:color w:val="auto"/>
                <w:sz w:val="21"/>
                <w:szCs w:val="21"/>
                <w:lang w:val="en-US" w:eastAsia="zh-CN"/>
              </w:rPr>
              <w:t>96%</w:t>
            </w:r>
          </w:p>
          <w:p>
            <w:pPr>
              <w:spacing w:beforeLines="30" w:afterLines="30"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3、合同评审率100%                                        100%</w:t>
            </w:r>
          </w:p>
          <w:p>
            <w:pPr>
              <w:spacing w:beforeLines="30" w:afterLines="3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二、环境/职业健康安全目标：</w:t>
            </w:r>
          </w:p>
          <w:p>
            <w:pPr>
              <w:spacing w:beforeLines="30" w:afterLines="3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1、固废分类处置率100%；                                  100%</w:t>
            </w:r>
          </w:p>
          <w:p>
            <w:pPr>
              <w:spacing w:beforeLines="30" w:afterLines="3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环境污染事故发生率为</w:t>
            </w:r>
            <w:r>
              <w:rPr>
                <w:rFonts w:hint="eastAsia" w:ascii="宋体" w:hAnsi="宋体" w:eastAsia="宋体" w:cs="宋体"/>
                <w:sz w:val="21"/>
                <w:szCs w:val="21"/>
                <w:lang w:val="en-US" w:eastAsia="zh-CN"/>
              </w:rPr>
              <w:t>0</w:t>
            </w:r>
            <w:r>
              <w:rPr>
                <w:rFonts w:hint="eastAsia" w:ascii="宋体" w:hAnsi="宋体" w:eastAsia="宋体" w:cs="宋体"/>
                <w:sz w:val="21"/>
                <w:szCs w:val="21"/>
              </w:rPr>
              <w:t>；                                100%</w:t>
            </w:r>
          </w:p>
          <w:p>
            <w:pPr>
              <w:spacing w:beforeLines="30" w:afterLines="3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各类重伤以上事故发生率</w:t>
            </w:r>
            <w:r>
              <w:rPr>
                <w:rFonts w:hint="eastAsia" w:ascii="宋体" w:hAnsi="宋体" w:eastAsia="宋体" w:cs="宋体"/>
                <w:sz w:val="21"/>
                <w:szCs w:val="21"/>
              </w:rPr>
              <w:t>为0；                             0</w:t>
            </w:r>
          </w:p>
          <w:p>
            <w:pPr>
              <w:spacing w:beforeLines="30" w:afterLines="3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4、火灾事故</w:t>
            </w:r>
            <w:r>
              <w:rPr>
                <w:rFonts w:hint="eastAsia" w:ascii="宋体" w:hAnsi="宋体" w:eastAsia="宋体" w:cs="宋体"/>
                <w:sz w:val="21"/>
                <w:szCs w:val="21"/>
                <w:lang w:eastAsia="zh-CN"/>
              </w:rPr>
              <w:t>发生率</w:t>
            </w:r>
            <w:r>
              <w:rPr>
                <w:rFonts w:hint="eastAsia" w:ascii="宋体" w:hAnsi="宋体" w:eastAsia="宋体" w:cs="宋体"/>
                <w:sz w:val="21"/>
                <w:szCs w:val="21"/>
              </w:rPr>
              <w:t>为0；                                     0</w:t>
            </w:r>
          </w:p>
          <w:p>
            <w:pPr>
              <w:spacing w:beforeLines="30" w:afterLines="30" w:line="240" w:lineRule="auto"/>
              <w:ind w:firstLine="420" w:firstLineChars="200"/>
              <w:jc w:val="left"/>
              <w:rPr>
                <w:rFonts w:hint="eastAsia" w:ascii="宋体" w:hAnsi="宋体" w:eastAsia="宋体" w:cs="宋体"/>
                <w:color w:val="000000"/>
                <w:sz w:val="21"/>
                <w:szCs w:val="21"/>
                <w:lang w:eastAsia="zh-CN"/>
              </w:rPr>
            </w:pPr>
            <w:r>
              <w:rPr>
                <w:rFonts w:hint="eastAsia" w:ascii="宋体" w:hAnsi="宋体" w:eastAsia="宋体" w:cs="宋体"/>
                <w:sz w:val="21"/>
                <w:szCs w:val="21"/>
              </w:rPr>
              <w:t>组织</w:t>
            </w:r>
            <w:r>
              <w:rPr>
                <w:rFonts w:hint="eastAsia" w:ascii="宋体" w:hAnsi="宋体" w:eastAsia="宋体" w:cs="宋体"/>
                <w:color w:val="000000"/>
                <w:sz w:val="21"/>
                <w:szCs w:val="21"/>
              </w:rPr>
              <w:t>对公司质量、环境、职业健康安全目标、指标予以分解，并在相关职能层次部门建立分目标</w:t>
            </w:r>
            <w:r>
              <w:rPr>
                <w:rFonts w:hint="eastAsia" w:ascii="宋体" w:hAnsi="宋体" w:eastAsia="宋体" w:cs="宋体"/>
                <w:color w:val="000000"/>
                <w:sz w:val="21"/>
                <w:szCs w:val="21"/>
                <w:lang w:eastAsia="zh-CN"/>
              </w:rPr>
              <w:t>。</w:t>
            </w:r>
          </w:p>
          <w:p>
            <w:pPr>
              <w:spacing w:beforeLines="30" w:afterLines="30" w:line="240" w:lineRule="auto"/>
              <w:ind w:firstLine="420" w:firstLineChars="20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查见《环境管理方案》和《安全管理方案》，制定措施有效，基本符合要求。</w:t>
            </w:r>
          </w:p>
          <w:p>
            <w:pPr>
              <w:spacing w:beforeLines="30" w:afterLines="30" w:line="240" w:lineRule="auto"/>
              <w:ind w:firstLine="420" w:firstLineChars="20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查见</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质量</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环境</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职业健康安全目标分解考核表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eastAsia="zh-CN"/>
              </w:rPr>
              <w:t>要求每三个月考核一次，</w:t>
            </w:r>
            <w:r>
              <w:rPr>
                <w:rFonts w:hint="eastAsia" w:ascii="宋体" w:hAnsi="宋体" w:eastAsia="宋体" w:cs="宋体"/>
                <w:color w:val="000000"/>
                <w:sz w:val="21"/>
                <w:szCs w:val="21"/>
              </w:rPr>
              <w:t>2020.</w:t>
            </w:r>
            <w:r>
              <w:rPr>
                <w:rFonts w:hint="eastAsia" w:ascii="宋体" w:hAnsi="宋体" w:eastAsia="宋体" w:cs="宋体"/>
                <w:color w:val="000000"/>
                <w:sz w:val="21"/>
                <w:szCs w:val="21"/>
                <w:lang w:val="en-US" w:eastAsia="zh-CN"/>
              </w:rPr>
              <w:t>9月和2020.12</w:t>
            </w:r>
            <w:r>
              <w:rPr>
                <w:rFonts w:hint="eastAsia" w:ascii="宋体" w:hAnsi="宋体" w:eastAsia="宋体" w:cs="宋体"/>
                <w:color w:val="000000"/>
                <w:sz w:val="21"/>
                <w:szCs w:val="21"/>
                <w:lang w:eastAsia="zh-CN"/>
              </w:rPr>
              <w:t>月</w:t>
            </w:r>
            <w:r>
              <w:rPr>
                <w:rFonts w:hint="eastAsia" w:ascii="宋体" w:hAnsi="宋体" w:eastAsia="宋体" w:cs="宋体"/>
                <w:color w:val="000000"/>
                <w:sz w:val="21"/>
                <w:szCs w:val="21"/>
              </w:rPr>
              <w:t>已完成，</w:t>
            </w:r>
            <w:r>
              <w:rPr>
                <w:rFonts w:hint="eastAsia" w:ascii="宋体" w:hAnsi="宋体" w:eastAsia="宋体" w:cs="宋体"/>
                <w:color w:val="000000"/>
                <w:sz w:val="21"/>
                <w:szCs w:val="21"/>
                <w:lang w:eastAsia="zh-CN"/>
              </w:rPr>
              <w:t>符合要求。</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资源</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O：7.1</w:t>
            </w:r>
          </w:p>
        </w:tc>
        <w:tc>
          <w:tcPr>
            <w:tcW w:w="10004" w:type="dxa"/>
            <w:vAlign w:val="center"/>
          </w:tcPr>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总经理主持了今年的管理评审，对方针、目标的适宜性进行了评审，协助管代进行了内审，确保所需资源得到满足。</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公司目前的基础设施，能够满足当前三体系的要求。公司将依据经营发展的需要，会不断补充与增加。</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内审</w:t>
            </w:r>
          </w:p>
        </w:tc>
        <w:tc>
          <w:tcPr>
            <w:tcW w:w="1311"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QEO：9.</w:t>
            </w:r>
            <w:r>
              <w:rPr>
                <w:rFonts w:hint="eastAsia" w:ascii="宋体" w:hAnsi="宋体" w:eastAsia="宋体" w:cs="宋体"/>
                <w:sz w:val="21"/>
                <w:szCs w:val="21"/>
                <w:lang w:val="en-US" w:eastAsia="zh-CN"/>
              </w:rPr>
              <w:t>2</w:t>
            </w:r>
          </w:p>
        </w:tc>
        <w:tc>
          <w:tcPr>
            <w:tcW w:w="10004" w:type="dxa"/>
            <w:vAlign w:val="center"/>
          </w:tcPr>
          <w:p>
            <w:pPr>
              <w:spacing w:line="24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制定了《</w:t>
            </w:r>
            <w:r>
              <w:rPr>
                <w:rFonts w:hint="eastAsia" w:ascii="宋体" w:hAnsi="宋体" w:eastAsia="宋体" w:cs="宋体"/>
                <w:color w:val="auto"/>
                <w:sz w:val="21"/>
                <w:szCs w:val="21"/>
                <w:highlight w:val="none"/>
                <w:lang w:eastAsia="zh-CN"/>
              </w:rPr>
              <w:t>内部审核</w:t>
            </w:r>
            <w:r>
              <w:rPr>
                <w:rFonts w:hint="eastAsia" w:ascii="宋体" w:hAnsi="宋体" w:eastAsia="宋体" w:cs="宋体"/>
                <w:color w:val="auto"/>
                <w:sz w:val="21"/>
                <w:szCs w:val="21"/>
                <w:highlight w:val="none"/>
              </w:rPr>
              <w:t>控制程序》</w:t>
            </w:r>
            <w:r>
              <w:rPr>
                <w:rFonts w:hint="eastAsia" w:ascii="宋体" w:hAnsi="宋体" w:eastAsia="宋体" w:cs="宋体"/>
                <w:color w:val="auto"/>
                <w:sz w:val="21"/>
                <w:szCs w:val="21"/>
                <w:highlight w:val="none"/>
                <w:lang w:eastAsia="zh-CN"/>
              </w:rPr>
              <w:t>。</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董磊组织了</w:t>
            </w:r>
            <w:r>
              <w:rPr>
                <w:rFonts w:hint="eastAsia" w:ascii="宋体" w:hAnsi="宋体" w:eastAsia="宋体" w:cs="宋体"/>
                <w:color w:val="auto"/>
                <w:sz w:val="21"/>
                <w:szCs w:val="21"/>
                <w:highlight w:val="none"/>
                <w:lang w:val="en-US" w:eastAsia="zh-CN"/>
              </w:rPr>
              <w:t>2020年度内审活动，</w:t>
            </w:r>
            <w:r>
              <w:rPr>
                <w:rFonts w:hint="eastAsia" w:ascii="宋体" w:hAnsi="宋体" w:eastAsia="宋体" w:cs="宋体"/>
                <w:color w:val="auto"/>
                <w:sz w:val="21"/>
                <w:szCs w:val="21"/>
                <w:highlight w:val="none"/>
              </w:rPr>
              <w:t>包含内审</w:t>
            </w:r>
            <w:r>
              <w:rPr>
                <w:rFonts w:hint="eastAsia" w:ascii="宋体" w:hAnsi="宋体" w:eastAsia="宋体" w:cs="宋体"/>
                <w:color w:val="auto"/>
                <w:sz w:val="21"/>
                <w:szCs w:val="21"/>
                <w:highlight w:val="none"/>
                <w:lang w:eastAsia="zh-CN"/>
              </w:rPr>
              <w:t>审核实施</w:t>
            </w:r>
            <w:r>
              <w:rPr>
                <w:rFonts w:hint="eastAsia" w:ascii="宋体" w:hAnsi="宋体" w:eastAsia="宋体" w:cs="宋体"/>
                <w:color w:val="auto"/>
                <w:sz w:val="21"/>
                <w:szCs w:val="21"/>
                <w:highlight w:val="none"/>
              </w:rPr>
              <w:t>计划、</w:t>
            </w:r>
            <w:r>
              <w:rPr>
                <w:rFonts w:hint="eastAsia" w:ascii="宋体" w:hAnsi="宋体" w:eastAsia="宋体" w:cs="宋体"/>
                <w:sz w:val="21"/>
                <w:szCs w:val="21"/>
                <w:highlight w:val="none"/>
              </w:rPr>
              <w:t>内审的实施</w:t>
            </w:r>
            <w:r>
              <w:rPr>
                <w:rFonts w:hint="eastAsia" w:ascii="宋体" w:hAnsi="宋体" w:eastAsia="宋体" w:cs="宋体"/>
                <w:color w:val="auto"/>
                <w:sz w:val="21"/>
                <w:szCs w:val="21"/>
                <w:highlight w:val="none"/>
              </w:rPr>
              <w:t>、</w:t>
            </w:r>
            <w:r>
              <w:rPr>
                <w:rFonts w:hint="eastAsia" w:ascii="宋体" w:hAnsi="宋体" w:eastAsia="宋体" w:cs="宋体"/>
                <w:sz w:val="21"/>
                <w:szCs w:val="21"/>
                <w:highlight w:val="none"/>
              </w:rPr>
              <w:t>不符合项的纠正</w:t>
            </w:r>
            <w:r>
              <w:rPr>
                <w:rFonts w:hint="eastAsia" w:ascii="宋体" w:hAnsi="宋体" w:eastAsia="宋体" w:cs="宋体"/>
                <w:color w:val="auto"/>
                <w:sz w:val="21"/>
                <w:szCs w:val="21"/>
                <w:highlight w:val="none"/>
              </w:rPr>
              <w:t>、</w:t>
            </w:r>
            <w:r>
              <w:rPr>
                <w:rFonts w:hint="eastAsia" w:ascii="宋体" w:hAnsi="宋体" w:eastAsia="宋体" w:cs="宋体"/>
                <w:sz w:val="21"/>
                <w:szCs w:val="21"/>
                <w:highlight w:val="none"/>
              </w:rPr>
              <w:t>不符合项的验证</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工作流程，规定每年内审至少一次，并要求覆盖本公司管理体系所有要求的内容。</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color w:val="auto"/>
                <w:sz w:val="21"/>
                <w:szCs w:val="21"/>
                <w:highlight w:val="none"/>
              </w:rPr>
              <w:t>于2020年</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日进行，结论基本符合，有内部审核计划表、内部审核报告、不合格报告等。</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809"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管理评审</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QEO：9.3  </w:t>
            </w:r>
          </w:p>
        </w:tc>
        <w:tc>
          <w:tcPr>
            <w:tcW w:w="10004" w:type="dxa"/>
            <w:vAlign w:val="center"/>
          </w:tcPr>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查看《管理评审程序》，基本符合要求。2020.10.</w:t>
            </w:r>
            <w:r>
              <w:rPr>
                <w:rFonts w:hint="eastAsia" w:ascii="宋体" w:hAnsi="宋体" w:eastAsia="宋体" w:cs="宋体"/>
                <w:sz w:val="21"/>
                <w:szCs w:val="21"/>
                <w:lang w:val="en-US" w:eastAsia="zh-CN"/>
              </w:rPr>
              <w:t>30</w:t>
            </w:r>
            <w:r>
              <w:rPr>
                <w:rFonts w:hint="eastAsia" w:ascii="宋体" w:hAnsi="宋体" w:eastAsia="宋体" w:cs="宋体"/>
                <w:sz w:val="21"/>
                <w:szCs w:val="21"/>
              </w:rPr>
              <w:t>日进行了管理评审。</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查看“管理评审计划”，由陈国华签发；内容包括；评审目的、评审时间、参加部门人员、评审输入内容等。</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输入: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查到各部门汇报材料，有参加人员签到表。</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管理评审输出：</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评审结论：自体系建立以来，公司的管理体系运行全面展开，收到良好的效果，经评审认为本公司的管理体系的建立和运行是充分的、适宜的、有效的。已具备了审核的条件。提出了如下改进措施:</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1）进一步组织对ISO 9001：2015、ISO 14001：2015、ISO45001：20181标准、《管理手册》、《程序文件》的学习和培训，使与管理体系有关的人员了解和掌握标准和本公司管理体系文件的内容，特别是应该提高内审员的水平和技巧；</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2）进一步组织对相关的法律、法规、规程和规范的学习，以增强广大技术人员的质量意识环境保护意识；</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3）加强对风险管控知识的学习，由行政部进行调研，并制定详细的实施计划；</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4）节能降耗，减少生产车间和办公区域资源能源和办公器材消耗量，减排增效，确保环境卫生。</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已制定实施计划，正在实施中。</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管理评审的策划及实施符合要求。</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809" w:type="dxa"/>
          </w:tcPr>
          <w:p>
            <w:pPr>
              <w:spacing w:line="240" w:lineRule="auto"/>
              <w:rPr>
                <w:rFonts w:hint="eastAsia" w:ascii="宋体" w:hAnsi="宋体" w:eastAsia="宋体" w:cs="宋体"/>
                <w:sz w:val="21"/>
                <w:szCs w:val="21"/>
              </w:rPr>
            </w:pPr>
            <w:r>
              <w:rPr>
                <w:rFonts w:hint="eastAsia" w:ascii="宋体" w:hAnsi="宋体" w:eastAsia="宋体" w:cs="宋体"/>
                <w:sz w:val="21"/>
                <w:szCs w:val="21"/>
              </w:rPr>
              <w:t>国家/地方抽查、顾客满意、相关方投诉处理</w:t>
            </w:r>
          </w:p>
        </w:tc>
        <w:tc>
          <w:tcPr>
            <w:tcW w:w="1311" w:type="dxa"/>
          </w:tcPr>
          <w:p>
            <w:pPr>
              <w:spacing w:line="240" w:lineRule="auto"/>
              <w:rPr>
                <w:rFonts w:hint="eastAsia" w:ascii="宋体" w:hAnsi="宋体" w:eastAsia="宋体" w:cs="宋体"/>
                <w:sz w:val="21"/>
                <w:szCs w:val="21"/>
              </w:rPr>
            </w:pPr>
          </w:p>
        </w:tc>
        <w:tc>
          <w:tcPr>
            <w:tcW w:w="10004" w:type="dxa"/>
          </w:tcPr>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自公司成立以来，未受到上级主管部门有关质量、环境问题、职业健康安全的行政处罚。未发生相关方的投诉。</w:t>
            </w:r>
          </w:p>
          <w:p>
            <w:pPr>
              <w:spacing w:beforeLines="30" w:afterLines="30"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于</w:t>
            </w:r>
            <w:r>
              <w:rPr>
                <w:rFonts w:hint="eastAsia" w:ascii="宋体" w:hAnsi="宋体" w:eastAsia="宋体" w:cs="宋体"/>
                <w:sz w:val="21"/>
                <w:szCs w:val="21"/>
                <w:lang w:val="en-US" w:eastAsia="zh-CN"/>
              </w:rPr>
              <w:t>2015年6月23日被北京市工商局大兴分局抽查，符合要求。</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809" w:type="dxa"/>
          </w:tcPr>
          <w:p>
            <w:pPr>
              <w:spacing w:line="240" w:lineRule="auto"/>
              <w:rPr>
                <w:rFonts w:hint="eastAsia" w:ascii="宋体" w:hAnsi="宋体" w:eastAsia="宋体" w:cs="宋体"/>
                <w:sz w:val="21"/>
                <w:szCs w:val="21"/>
              </w:rPr>
            </w:pPr>
            <w:r>
              <w:rPr>
                <w:rFonts w:hint="eastAsia" w:ascii="宋体" w:hAnsi="宋体" w:eastAsia="宋体" w:cs="宋体"/>
                <w:sz w:val="21"/>
                <w:szCs w:val="21"/>
              </w:rPr>
              <w:t>验证资质</w:t>
            </w:r>
          </w:p>
        </w:tc>
        <w:tc>
          <w:tcPr>
            <w:tcW w:w="1311" w:type="dxa"/>
          </w:tcPr>
          <w:p>
            <w:pPr>
              <w:spacing w:line="240" w:lineRule="auto"/>
              <w:rPr>
                <w:rFonts w:hint="eastAsia" w:ascii="宋体" w:hAnsi="宋体" w:eastAsia="宋体" w:cs="宋体"/>
                <w:sz w:val="21"/>
                <w:szCs w:val="21"/>
              </w:rPr>
            </w:pPr>
          </w:p>
        </w:tc>
        <w:tc>
          <w:tcPr>
            <w:tcW w:w="10004" w:type="dxa"/>
          </w:tcPr>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提供了组织营业执照</w:t>
            </w:r>
            <w:r>
              <w:rPr>
                <w:rFonts w:hint="eastAsia" w:ascii="宋体" w:hAnsi="宋体" w:cs="宋体"/>
                <w:sz w:val="21"/>
                <w:szCs w:val="21"/>
                <w:lang w:eastAsia="zh-CN"/>
              </w:rPr>
              <w:t>、</w:t>
            </w:r>
            <w:r>
              <w:rPr>
                <w:rFonts w:hint="eastAsia" w:ascii="宋体" w:hAnsi="宋体" w:cs="宋体"/>
                <w:sz w:val="21"/>
                <w:szCs w:val="21"/>
                <w:lang w:val="en-US" w:eastAsia="zh-CN"/>
              </w:rPr>
              <w:t>相关资质许可证</w:t>
            </w:r>
            <w:r>
              <w:rPr>
                <w:rFonts w:hint="eastAsia" w:ascii="宋体" w:hAnsi="宋体" w:eastAsia="宋体" w:cs="宋体"/>
                <w:sz w:val="21"/>
                <w:szCs w:val="21"/>
              </w:rPr>
              <w:t>均为有效。</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bl>
    <w:p>
      <w:r>
        <w:ptab w:relativeTo="margin" w:alignment="center" w:leader="none"/>
      </w:r>
    </w:p>
    <w:p>
      <w:pPr>
        <w:pStyle w:val="4"/>
      </w:pPr>
      <w:r>
        <w:rPr>
          <w:rFonts w:hint="eastAsia"/>
        </w:rPr>
        <w:t>说明：不符合标注N</w:t>
      </w: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2"/>
      <w:pBdr>
        <w:bottom w:val="none" w:color="auto" w:sz="0" w:space="0"/>
      </w:pBdr>
      <w:spacing w:line="320" w:lineRule="exact"/>
      <w:jc w:val="left"/>
    </w:pPr>
    <w:r>
      <w:pict>
        <v:shape id="_x0000_s1025" o:spid="_x0000_s1025"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w:t>
                </w:r>
                <w:r>
                  <w:rPr>
                    <w:rFonts w:hint="eastAsia"/>
                    <w:sz w:val="18"/>
                    <w:szCs w:val="18"/>
                    <w:lang w:val="en-US" w:eastAsia="zh-CN"/>
                  </w:rPr>
                  <w:t>13</w:t>
                </w:r>
                <w:r>
                  <w:rPr>
                    <w:rFonts w:hint="eastAsia"/>
                    <w:sz w:val="18"/>
                    <w:szCs w:val="18"/>
                  </w:rPr>
                  <w:t>管理体系审核记录表(03版)</w:t>
                </w:r>
              </w:p>
            </w:txbxContent>
          </v:textbox>
        </v:shape>
      </w:pict>
    </w:r>
    <w:r>
      <w:rPr>
        <w:rStyle w:val="10"/>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063E4"/>
    <w:rsid w:val="00187A58"/>
    <w:rsid w:val="002515E2"/>
    <w:rsid w:val="002A5A9C"/>
    <w:rsid w:val="00370420"/>
    <w:rsid w:val="005E5015"/>
    <w:rsid w:val="006351C6"/>
    <w:rsid w:val="006642E9"/>
    <w:rsid w:val="00730281"/>
    <w:rsid w:val="008B0A22"/>
    <w:rsid w:val="009D10D6"/>
    <w:rsid w:val="00A07AA2"/>
    <w:rsid w:val="00CE417D"/>
    <w:rsid w:val="00D063E4"/>
    <w:rsid w:val="00D6273F"/>
    <w:rsid w:val="00D65AC3"/>
    <w:rsid w:val="00D7203A"/>
    <w:rsid w:val="00F8010E"/>
    <w:rsid w:val="04EC61D5"/>
    <w:rsid w:val="0761221F"/>
    <w:rsid w:val="12074CE4"/>
    <w:rsid w:val="15646D1D"/>
    <w:rsid w:val="17C82FA3"/>
    <w:rsid w:val="18EF7D5E"/>
    <w:rsid w:val="1A711A51"/>
    <w:rsid w:val="1AF85C59"/>
    <w:rsid w:val="1B8D1884"/>
    <w:rsid w:val="1D583333"/>
    <w:rsid w:val="1D8B470A"/>
    <w:rsid w:val="1E586777"/>
    <w:rsid w:val="28E33582"/>
    <w:rsid w:val="3275166B"/>
    <w:rsid w:val="36257474"/>
    <w:rsid w:val="38E10E1D"/>
    <w:rsid w:val="45D92EF4"/>
    <w:rsid w:val="4F476B83"/>
    <w:rsid w:val="4FB04420"/>
    <w:rsid w:val="539D19D6"/>
    <w:rsid w:val="544A63E5"/>
    <w:rsid w:val="5B5902A5"/>
    <w:rsid w:val="64A21375"/>
    <w:rsid w:val="68A277DE"/>
    <w:rsid w:val="6B2F6B66"/>
    <w:rsid w:val="6FC21137"/>
    <w:rsid w:val="73C6395B"/>
    <w:rsid w:val="7DCF25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9"/>
    <w:semiHidden/>
    <w:unhideWhenUsed/>
    <w:qFormat/>
    <w:uiPriority w:val="99"/>
    <w:rPr>
      <w:sz w:val="18"/>
      <w:szCs w:val="18"/>
    </w:r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character" w:customStyle="1" w:styleId="7">
    <w:name w:val="页眉 Char"/>
    <w:basedOn w:val="6"/>
    <w:link w:val="2"/>
    <w:qFormat/>
    <w:uiPriority w:val="99"/>
    <w:rPr>
      <w:rFonts w:ascii="Times New Roman" w:hAnsi="Times New Roman" w:eastAsia="宋体" w:cs="Times New Roman"/>
      <w:sz w:val="18"/>
      <w:szCs w:val="18"/>
    </w:rPr>
  </w:style>
  <w:style w:type="character" w:customStyle="1" w:styleId="8">
    <w:name w:val="页脚 Char"/>
    <w:basedOn w:val="6"/>
    <w:link w:val="4"/>
    <w:qFormat/>
    <w:uiPriority w:val="99"/>
    <w:rPr>
      <w:rFonts w:ascii="Times New Roman" w:hAnsi="Times New Roman" w:eastAsia="宋体" w:cs="Times New Roman"/>
      <w:sz w:val="18"/>
      <w:szCs w:val="18"/>
    </w:rPr>
  </w:style>
  <w:style w:type="character" w:customStyle="1" w:styleId="9">
    <w:name w:val="批注框文本 Char"/>
    <w:basedOn w:val="6"/>
    <w:link w:val="3"/>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1087</Words>
  <Characters>6202</Characters>
  <Lines>51</Lines>
  <Paragraphs>14</Paragraphs>
  <TotalTime>39</TotalTime>
  <ScaleCrop>false</ScaleCrop>
  <LinksUpToDate>false</LinksUpToDate>
  <CharactersWithSpaces>7275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李蒙生</cp:lastModifiedBy>
  <dcterms:modified xsi:type="dcterms:W3CDTF">2021-01-25T06:52:02Z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