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u w:val="single"/>
        </w:rPr>
        <w:t>北京首铁天佑科技有限公司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李蒙生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2020-N1EMS-1237307</w:t>
            </w:r>
          </w:p>
          <w:p>
            <w:pPr>
              <w:jc w:val="center"/>
              <w:rPr>
                <w:b/>
                <w:sz w:val="21"/>
                <w:szCs w:val="21"/>
              </w:rPr>
            </w:pPr>
            <w:r>
              <w:rPr>
                <w:b/>
                <w:sz w:val="21"/>
                <w:szCs w:val="21"/>
              </w:rPr>
              <w:t>2020-N1OHSMS-1237307</w:t>
            </w:r>
          </w:p>
        </w:tc>
        <w:tc>
          <w:tcPr>
            <w:tcW w:w="1728" w:type="dxa"/>
            <w:gridSpan w:val="2"/>
            <w:vAlign w:val="center"/>
          </w:tcPr>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ISC-237307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sym w:font="Wingdings 2" w:char="0052"/>
      </w:r>
      <w:r>
        <w:rPr>
          <w:rFonts w:hint="eastAsia"/>
          <w:b/>
          <w:sz w:val="21"/>
          <w:szCs w:val="21"/>
        </w:rPr>
        <w:t>其它：</w:t>
      </w:r>
      <w:r>
        <w:rPr>
          <w:rFonts w:hint="eastAsia" w:ascii="宋体" w:hAnsi="宋体"/>
          <w:b/>
          <w:bCs/>
          <w:sz w:val="20"/>
          <w:u w:val="single"/>
          <w:lang w:val="en-US" w:eastAsia="zh-CN"/>
        </w:rPr>
        <w:t>职业健康安全体系转版</w:t>
      </w:r>
      <w:r>
        <w:rPr>
          <w:rFonts w:hint="eastAsia"/>
          <w:b/>
          <w:sz w:val="21"/>
          <w:szCs w:val="21"/>
        </w:rPr>
        <w:t>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 xml:space="preserve">20 </w:t>
      </w:r>
      <w:r>
        <w:rPr>
          <w:rFonts w:hint="eastAsia"/>
          <w:b/>
          <w:sz w:val="21"/>
          <w:szCs w:val="21"/>
        </w:rPr>
        <w:t xml:space="preserve">idt </w:t>
      </w:r>
      <w:r>
        <w:rPr>
          <w:rFonts w:hint="eastAsia"/>
          <w:b/>
          <w:sz w:val="21"/>
          <w:szCs w:val="21"/>
          <w:lang w:val="en-US" w:eastAsia="zh-CN"/>
        </w:rPr>
        <w:t>ISO</w:t>
      </w:r>
      <w:r>
        <w:rPr>
          <w:rFonts w:hint="eastAsia"/>
          <w:b/>
          <w:sz w:val="21"/>
          <w:szCs w:val="21"/>
        </w:rPr>
        <w:t xml:space="preserve"> </w:t>
      </w:r>
      <w:r>
        <w:rPr>
          <w:rFonts w:hint="eastAsia"/>
          <w:b/>
          <w:sz w:val="21"/>
          <w:szCs w:val="21"/>
          <w:lang w:val="en-US" w:eastAsia="zh-CN"/>
        </w:rPr>
        <w:t>45001</w:t>
      </w:r>
      <w:r>
        <w:rPr>
          <w:rFonts w:hint="eastAsia"/>
          <w:b/>
          <w:sz w:val="21"/>
          <w:szCs w:val="21"/>
        </w:rPr>
        <w:t>:20</w:t>
      </w:r>
      <w:r>
        <w:rPr>
          <w:rFonts w:hint="eastAsia"/>
          <w:b/>
          <w:sz w:val="21"/>
          <w:szCs w:val="21"/>
          <w:lang w:val="en-US" w:eastAsia="zh-CN"/>
        </w:rPr>
        <w:t>18</w:t>
      </w:r>
      <w:r>
        <w:rPr>
          <w:rFonts w:hint="eastAsia"/>
          <w:b/>
          <w:sz w:val="21"/>
          <w:szCs w:val="21"/>
        </w:rPr>
        <w:t>标准</w:t>
      </w:r>
    </w:p>
    <w:p>
      <w:pPr>
        <w:tabs>
          <w:tab w:val="left" w:pos="645"/>
        </w:tabs>
        <w:rPr>
          <w:b/>
          <w:sz w:val="21"/>
          <w:szCs w:val="21"/>
        </w:rPr>
      </w:pPr>
      <w:bookmarkStart w:id="27" w:name="_GoBack"/>
      <w:bookmarkEnd w:id="27"/>
      <w:r>
        <w:rPr>
          <w:rFonts w:hint="eastAsia"/>
          <w:b/>
          <w:sz w:val="21"/>
          <w:szCs w:val="21"/>
        </w:rPr>
        <w:sym w:font="Wingdings 2" w:char="0052"/>
      </w: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北京首铁天佑科技有限公司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北京市丰台区科兴路7号3层302室(园区)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100070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北京市丰台区科兴路7号3层302室(园区)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100070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北京市丰台区科兴路7号3层302室(园区)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100070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王堃</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15801345755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r>
              <w:rPr>
                <w:rFonts w:ascii="宋体"/>
                <w:b/>
                <w:sz w:val="21"/>
              </w:rPr>
              <w:t>王堃</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val="en-US" w:eastAsia="zh-CN"/>
              </w:rPr>
            </w:pPr>
            <w:r>
              <w:rPr>
                <w:rFonts w:hint="eastAsia" w:ascii="宋体" w:hAnsi="宋体"/>
                <w:b/>
                <w:sz w:val="21"/>
                <w:szCs w:val="21"/>
                <w:lang w:val="en-US" w:eastAsia="zh-CN"/>
              </w:rPr>
              <w:t>宋洋</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王堃</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2021年01月15日 上午至2021年01月16日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r>
              <w:rPr>
                <w:rFonts w:hint="eastAsia" w:ascii="宋体" w:hAnsi="宋体"/>
                <w:b/>
                <w:sz w:val="21"/>
                <w:szCs w:val="21"/>
              </w:rPr>
              <w:sym w:font="Wingdings 2" w:char="00A3"/>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rPr>
              <w:t>铁路设备（铁路机车车辆检修设备）的销售服务及其所涉及的环境管理活动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rPr>
              <w:t xml:space="preserve">铁路设备（铁路机车车辆检修设备）的销售服务及其所涉及的职业健康安全管理活动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2019.12.24-2022.12.23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2019.12.16-2019.12.18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hint="eastAsia" w:ascii="宋体" w:hAnsi="宋体"/>
                <w:b/>
                <w:sz w:val="21"/>
                <w:szCs w:val="21"/>
                <w:lang w:val="en-US" w:eastAsia="zh-CN"/>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sz w:val="21"/>
                <w:szCs w:val="21"/>
              </w:rPr>
              <w:t>公司确定了与</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lang w:val="en-US" w:eastAsia="zh-CN"/>
              </w:rPr>
              <w:t>环境安全</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方针：</w:t>
            </w:r>
          </w:p>
          <w:p>
            <w:pPr>
              <w:numPr>
                <w:ilvl w:val="0"/>
                <w:numId w:val="0"/>
              </w:numPr>
              <w:spacing w:line="24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守法诚信追求精品，预防污染保护环境；</w:t>
            </w:r>
          </w:p>
          <w:p>
            <w:pPr>
              <w:numPr>
                <w:ilvl w:val="0"/>
                <w:numId w:val="0"/>
              </w:numPr>
              <w:spacing w:line="24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关爱员工健康安全，持续改进追求卓越。</w:t>
            </w:r>
          </w:p>
          <w:p>
            <w:pPr>
              <w:keepNext w:val="0"/>
              <w:keepLines w:val="0"/>
              <w:pageBreakBefore w:val="0"/>
              <w:kinsoku/>
              <w:wordWrap/>
              <w:overflowPunct/>
              <w:topLinePunct w:val="0"/>
              <w:bidi w:val="0"/>
              <w:snapToGrid/>
              <w:spacing w:line="360" w:lineRule="exact"/>
              <w:textAlignment w:val="auto"/>
              <w:rPr>
                <w:sz w:val="21"/>
                <w:szCs w:val="21"/>
              </w:rPr>
            </w:pPr>
            <w:r>
              <w:rPr>
                <w:rFonts w:hint="eastAsia" w:cs="宋体"/>
                <w:sz w:val="21"/>
                <w:szCs w:val="21"/>
              </w:rPr>
              <w:t>管理方针与企业的经营宗旨相适应，协调；</w:t>
            </w:r>
          </w:p>
          <w:p>
            <w:pPr>
              <w:numPr>
                <w:ilvl w:val="0"/>
                <w:numId w:val="0"/>
              </w:numPr>
              <w:spacing w:line="280" w:lineRule="exact"/>
              <w:rPr>
                <w:rFonts w:hint="eastAsia" w:ascii="宋体" w:hAnsi="宋体"/>
                <w:b/>
                <w:sz w:val="21"/>
                <w:szCs w:val="21"/>
              </w:rPr>
            </w:pP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rPr>
                <w:rFonts w:hint="eastAsia" w:ascii="Times New Roman" w:hAnsi="Times New Roman" w:eastAsia="宋体" w:cs="Times New Roman"/>
                <w:sz w:val="21"/>
                <w:szCs w:val="21"/>
                <w:lang w:val="en-US" w:eastAsia="zh-CN"/>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spacing w:line="240" w:lineRule="exact"/>
              <w:rPr>
                <w:rFonts w:hint="default" w:ascii="宋体" w:hAnsi="宋体" w:eastAsia="宋体"/>
                <w:b/>
                <w:sz w:val="21"/>
                <w:szCs w:val="21"/>
                <w:lang w:val="en-US" w:eastAsia="zh-CN"/>
              </w:rPr>
            </w:pPr>
            <w:r>
              <w:rPr>
                <w:rFonts w:hint="eastAsia" w:ascii="Times New Roman" w:hAnsi="Times New Roman" w:eastAsia="宋体" w:cs="Times New Roman"/>
                <w:sz w:val="21"/>
                <w:szCs w:val="21"/>
                <w:lang w:val="en-US" w:eastAsia="zh-CN"/>
              </w:rPr>
              <w:t>编制了《风险和机遇控制程序》。</w:t>
            </w:r>
            <w:r>
              <w:rPr>
                <w:rFonts w:hint="eastAsia" w:ascii="Times New Roman" w:hAnsi="Times New Roman" w:eastAsia="宋体" w:cs="Times New Roman"/>
                <w:sz w:val="21"/>
                <w:szCs w:val="21"/>
              </w:rPr>
              <w:t>公司</w:t>
            </w:r>
            <w:r>
              <w:rPr>
                <w:rFonts w:hint="eastAsia" w:ascii="Times New Roman" w:hAnsi="Times New Roman" w:eastAsia="宋体" w:cs="Times New Roman"/>
                <w:sz w:val="21"/>
                <w:szCs w:val="21"/>
                <w:lang w:val="en-US" w:eastAsia="zh-CN"/>
              </w:rPr>
              <w:t>分别从顾客需求、公司内部、适用的法律法规等方面</w:t>
            </w:r>
            <w:r>
              <w:rPr>
                <w:rFonts w:hint="eastAsia" w:ascii="Times New Roman" w:hAnsi="Times New Roman" w:eastAsia="宋体" w:cs="Times New Roman"/>
                <w:sz w:val="21"/>
                <w:szCs w:val="21"/>
              </w:rPr>
              <w:t>识别了必要的风险和机遇，</w:t>
            </w:r>
            <w:r>
              <w:rPr>
                <w:rFonts w:hint="default" w:ascii="Times New Roman" w:hAnsi="Times New Roman" w:eastAsia="宋体" w:cs="Times New Roman"/>
                <w:sz w:val="21"/>
                <w:szCs w:val="21"/>
                <w:lang w:val="en-US" w:eastAsia="zh-CN"/>
              </w:rPr>
              <w:t>如</w:t>
            </w:r>
            <w:r>
              <w:rPr>
                <w:rFonts w:hint="eastAsia" w:ascii="Times New Roman" w:hAnsi="Times New Roman" w:eastAsia="宋体" w:cs="Times New Roman"/>
                <w:sz w:val="21"/>
                <w:szCs w:val="21"/>
                <w:lang w:val="en-US" w:eastAsia="zh-CN"/>
              </w:rPr>
              <w:t>政策风险、资源风险、销售风险、财务风险、销售服务安全风险、销售过程风险、管理风险等。</w:t>
            </w:r>
            <w:r>
              <w:rPr>
                <w:rFonts w:hint="eastAsia" w:ascii="Times New Roman" w:hAnsi="Times New Roman" w:eastAsia="宋体" w:cs="Times New Roman"/>
                <w:sz w:val="21"/>
                <w:szCs w:val="21"/>
              </w:rPr>
              <w:t>制定了相应的应对措施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如针对资源风险，主要是</w:t>
            </w:r>
            <w:r>
              <w:rPr>
                <w:rFonts w:hint="eastAsia" w:ascii="Times New Roman" w:hAnsi="Times New Roman" w:eastAsia="宋体" w:cs="Times New Roman"/>
                <w:sz w:val="21"/>
                <w:szCs w:val="21"/>
              </w:rPr>
              <w:t>铁路设备（铁路机车车辆检修设备）的销售及服务 所需的主要场所在北京，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/□50430过程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240" w:lineRule="exact"/>
              <w:rPr>
                <w:rFonts w:ascii="宋体" w:hAnsi="宋体"/>
                <w:b/>
                <w:sz w:val="21"/>
                <w:szCs w:val="21"/>
              </w:rPr>
            </w:pPr>
            <w:r>
              <w:rPr>
                <w:rFonts w:hint="eastAsia" w:ascii="宋体" w:hAnsi="宋体" w:eastAsia="宋体" w:cs="Times New Roman"/>
                <w:sz w:val="21"/>
                <w:szCs w:val="21"/>
                <w:lang w:val="en-US" w:eastAsia="zh-CN"/>
              </w:rPr>
              <w:t>综合部</w:t>
            </w:r>
            <w:r>
              <w:rPr>
                <w:rFonts w:hint="eastAsia" w:ascii="宋体" w:hAnsi="宋体"/>
                <w:sz w:val="21"/>
                <w:szCs w:val="21"/>
                <w:lang w:val="en-US" w:eastAsia="zh-CN"/>
              </w:rPr>
              <w:t>部组织全体部门对所涉及的环境因素进行识别，</w:t>
            </w:r>
            <w:r>
              <w:rPr>
                <w:rFonts w:hint="eastAsia" w:ascii="Times New Roman" w:hAnsi="Times New Roman" w:eastAsia="宋体" w:cs="Times New Roman"/>
                <w:sz w:val="21"/>
                <w:szCs w:val="21"/>
                <w:lang w:val="en-US" w:eastAsia="zh-CN"/>
              </w:rPr>
              <w:t>并评价出重要环境因素，提供环境因素评价记录，目前环境因素识别基本完整，评价的重要环境因素有废墨盒处理、废硒鼓处理、废色带处理、废灯管处理、意外火灾</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GB" w:eastAsia="zh-CN"/>
              </w:rPr>
              <w:t>，环境因素识别评价符合要</w:t>
            </w:r>
            <w:r>
              <w:rPr>
                <w:rFonts w:hint="eastAsia" w:ascii="宋体" w:hAnsi="宋体" w:eastAsia="宋体" w:cs="宋体"/>
                <w:color w:val="auto"/>
                <w:kern w:val="2"/>
                <w:sz w:val="21"/>
                <w:szCs w:val="21"/>
                <w:lang w:val="en-GB"/>
              </w:rPr>
              <w:t>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eastAsia="宋体" w:cs="Times New Roman"/>
                <w:sz w:val="21"/>
                <w:szCs w:val="21"/>
                <w:lang w:val="en-US" w:eastAsia="zh-CN"/>
              </w:rPr>
              <w:t>综合部组织全体部门所涉及的危险源进行识别，并评价出重大危险源，提供重大危险源评价记录，目前危险源识别基本完整，评价的不可接受风险为人员伤亡、财产损失、环境破坏</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US" w:eastAsia="zh-CN"/>
              </w:rPr>
              <w:t>危险源</w:t>
            </w:r>
            <w:r>
              <w:rPr>
                <w:rFonts w:hint="eastAsia" w:ascii="宋体" w:hAnsi="宋体" w:eastAsia="宋体" w:cs="Times New Roman"/>
                <w:sz w:val="21"/>
                <w:szCs w:val="21"/>
                <w:lang w:val="en-GB" w:eastAsia="zh-CN"/>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质量目标：销售产品合格率100%；供货及时率100%；顾客满意度95%以上。</w:t>
            </w:r>
          </w:p>
          <w:p>
            <w:pPr>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环境目标和指标：环境污染事故为零。</w:t>
            </w:r>
          </w:p>
          <w:p>
            <w:pPr>
              <w:spacing w:line="24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职业健康安全目标和指标：杜绝各类重伤以上事故，且事故发生率为零； 杜绝火灾事故，火灾事故发生率为零。</w:t>
            </w:r>
          </w:p>
          <w:p>
            <w:pPr>
              <w:spacing w:line="240" w:lineRule="exact"/>
              <w:rPr>
                <w:rFonts w:ascii="宋体" w:hAnsi="宋体"/>
                <w:b/>
                <w:sz w:val="21"/>
                <w:szCs w:val="21"/>
              </w:rPr>
            </w:pPr>
            <w:r>
              <w:rPr>
                <w:rFonts w:hint="eastAsia" w:ascii="宋体" w:hAnsi="宋体" w:eastAsia="宋体" w:cs="Times New Roman"/>
                <w:sz w:val="21"/>
                <w:szCs w:val="21"/>
                <w:lang w:val="en-US" w:eastAsia="zh-CN"/>
              </w:rPr>
              <w:t>提供了文件化可分解的目标、指标，经查问分解到各部门，经查阅建立的管理目标符合标准要求，在方针的框架下展开，每半年考核一次，查看2020年5月-12月各部门目标考核记录，显示目标均已完成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Times New Roman" w:hAnsi="Times New Roman" w:cs="宋体"/>
                <w:sz w:val="21"/>
                <w:szCs w:val="21"/>
              </w:rPr>
              <w:t>管理体系文件由</w:t>
            </w:r>
            <w:r>
              <w:rPr>
                <w:rFonts w:hint="eastAsia" w:cs="宋体"/>
                <w:sz w:val="21"/>
                <w:szCs w:val="21"/>
                <w:lang w:val="en-US" w:eastAsia="zh-CN"/>
              </w:rPr>
              <w:t>综合</w:t>
            </w:r>
            <w:r>
              <w:rPr>
                <w:rFonts w:hint="eastAsia" w:cs="宋体"/>
                <w:sz w:val="21"/>
                <w:szCs w:val="21"/>
                <w:lang w:eastAsia="zh-CN"/>
              </w:rPr>
              <w:t>部</w:t>
            </w:r>
            <w:r>
              <w:rPr>
                <w:rFonts w:hint="eastAsia" w:ascii="Times New Roman" w:hAnsi="Times New Roman" w:cs="宋体"/>
                <w:sz w:val="21"/>
                <w:szCs w:val="21"/>
              </w:rPr>
              <w:t>组织编写，总经理批准发布实施，</w:t>
            </w:r>
            <w:r>
              <w:rPr>
                <w:rFonts w:hint="eastAsia" w:cs="宋体"/>
                <w:sz w:val="21"/>
                <w:szCs w:val="21"/>
                <w:lang w:eastAsia="zh-CN"/>
              </w:rPr>
              <w:t>采购部</w:t>
            </w:r>
            <w:r>
              <w:rPr>
                <w:rFonts w:hint="eastAsia" w:ascii="Times New Roman" w:hAnsi="Times New Roman" w:cs="宋体"/>
                <w:sz w:val="21"/>
                <w:szCs w:val="21"/>
              </w:rPr>
              <w:t>打印传阅，公司文件柜存放，电子版本在电脑桌面上，每个人均可查阅。外来文件电子版本在电脑桌面上，每个人均可查阅。记录管理：</w:t>
            </w:r>
            <w:r>
              <w:rPr>
                <w:rFonts w:hint="eastAsia" w:cs="宋体"/>
                <w:sz w:val="21"/>
                <w:szCs w:val="21"/>
                <w:lang w:val="en-US" w:eastAsia="zh-CN"/>
              </w:rPr>
              <w:t>综合部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综合部</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电脑、一体机、电话、传真、打印机、文件柜等办公设备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Times New Roman" w:hAnsi="Times New Roman" w:eastAsia="宋体" w:cs="Times New Roman"/>
                <w:sz w:val="21"/>
                <w:szCs w:val="21"/>
                <w:lang w:eastAsia="zh-CN"/>
              </w:rPr>
              <w:t>办公</w:t>
            </w:r>
            <w:r>
              <w:rPr>
                <w:rFonts w:hint="eastAsia" w:ascii="Times New Roman" w:hAnsi="Times New Roman" w:eastAsia="宋体" w:cs="Times New Roman"/>
                <w:sz w:val="21"/>
                <w:szCs w:val="21"/>
                <w:lang w:val="en-US" w:eastAsia="zh-CN"/>
              </w:rPr>
              <w:t>经营</w:t>
            </w:r>
            <w:r>
              <w:rPr>
                <w:rFonts w:hint="eastAsia" w:ascii="Times New Roman" w:hAnsi="Times New Roman" w:eastAsia="宋体" w:cs="Times New Roman"/>
                <w:sz w:val="21"/>
                <w:szCs w:val="21"/>
                <w:lang w:eastAsia="zh-CN"/>
              </w:rPr>
              <w:t>地点位于北京市丰台区科兴路7号3层302室(园区)，办公区域面积</w:t>
            </w:r>
            <w:r>
              <w:rPr>
                <w:rFonts w:hint="eastAsia" w:ascii="Times New Roman" w:hAnsi="Times New Roman" w:eastAsia="宋体" w:cs="Times New Roman"/>
                <w:sz w:val="21"/>
                <w:szCs w:val="21"/>
                <w:lang w:val="en-US" w:eastAsia="zh-CN"/>
              </w:rPr>
              <w:t>160平米，</w:t>
            </w:r>
            <w:r>
              <w:rPr>
                <w:rFonts w:hint="eastAsia" w:ascii="Times New Roman" w:hAnsi="Times New Roman" w:eastAsia="宋体" w:cs="Times New Roman"/>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hint="default" w:ascii="宋体" w:hAnsi="宋体" w:eastAsia="宋体"/>
                <w:b/>
                <w:sz w:val="21"/>
                <w:szCs w:val="21"/>
                <w:lang w:val="en-US" w:eastAsia="zh-CN"/>
              </w:rPr>
            </w:pPr>
            <w:r>
              <w:rPr>
                <w:rFonts w:hint="eastAsia"/>
                <w:sz w:val="21"/>
                <w:szCs w:val="21"/>
              </w:rPr>
              <w:t>公司对法律法规及其他要求进行了获取</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包括环境保护法、固体废物污染环境防治法、城市生活垃圾管理办法、大气污染防治法、水污染防治法、消防法、环境噪声污染防治法、消防法、固体废弃物环境防治法、劳动合同法、职业病防治法等法规要求。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b/>
                <w:sz w:val="21"/>
                <w:szCs w:val="21"/>
                <w:lang w:val="en-US" w:eastAsia="zh-CN"/>
              </w:rPr>
            </w:pPr>
            <w:r>
              <w:rPr>
                <w:rFonts w:hint="eastAsia" w:ascii="Times New Roman" w:hAnsi="Times New Roman" w:eastAsia="宋体" w:cs="Times New Roman"/>
                <w:sz w:val="21"/>
                <w:szCs w:val="21"/>
                <w:lang w:val="en-US" w:eastAsia="zh-CN"/>
              </w:rPr>
              <w:t>灭火器</w:t>
            </w:r>
          </w:p>
        </w:tc>
      </w:tr>
      <w:tr>
        <w:tblPrEx>
          <w:tblCellMar>
            <w:top w:w="0" w:type="dxa"/>
            <w:left w:w="108" w:type="dxa"/>
            <w:bottom w:w="0" w:type="dxa"/>
            <w:right w:w="108" w:type="dxa"/>
          </w:tblCellMar>
        </w:tblPrEx>
        <w:trPr>
          <w:cantSplit/>
          <w:trHeight w:val="6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default" w:ascii="宋体" w:hAnsi="宋体" w:eastAsia="宋体"/>
                <w:b/>
                <w:sz w:val="21"/>
                <w:szCs w:val="21"/>
                <w:lang w:val="en-US" w:eastAsia="zh-CN"/>
              </w:rPr>
            </w:pPr>
            <w:r>
              <w:rPr>
                <w:rFonts w:hint="eastAsia" w:ascii="Times New Roman" w:hAnsi="Times New Roman" w:eastAsia="宋体" w:cs="Times New Roman"/>
                <w:sz w:val="21"/>
                <w:szCs w:val="21"/>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numPr>
                <w:ilvl w:val="0"/>
                <w:numId w:val="0"/>
              </w:numPr>
              <w:spacing w:line="240" w:lineRule="exact"/>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numPr>
                <w:ilvl w:val="0"/>
                <w:numId w:val="0"/>
              </w:numPr>
              <w:spacing w:line="24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方针：</w:t>
            </w:r>
          </w:p>
          <w:p>
            <w:pPr>
              <w:numPr>
                <w:ilvl w:val="0"/>
                <w:numId w:val="0"/>
              </w:numPr>
              <w:spacing w:line="24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守法诚信追求精品，预防污染保护环境；</w:t>
            </w:r>
          </w:p>
          <w:p>
            <w:pPr>
              <w:numPr>
                <w:ilvl w:val="0"/>
                <w:numId w:val="0"/>
              </w:numPr>
              <w:spacing w:line="24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关爱员工健康安全，持续改进追求卓越。</w:t>
            </w:r>
          </w:p>
          <w:p>
            <w:pPr>
              <w:keepNext w:val="0"/>
              <w:keepLines w:val="0"/>
              <w:pageBreakBefore w:val="0"/>
              <w:kinsoku/>
              <w:wordWrap/>
              <w:overflowPunct/>
              <w:topLinePunct w:val="0"/>
              <w:bidi w:val="0"/>
              <w:snapToGrid/>
              <w:spacing w:line="360" w:lineRule="exact"/>
              <w:textAlignment w:val="auto"/>
              <w:rPr>
                <w:sz w:val="21"/>
                <w:szCs w:val="21"/>
              </w:rPr>
            </w:pPr>
            <w:r>
              <w:rPr>
                <w:rFonts w:hint="eastAsia" w:cs="宋体"/>
                <w:sz w:val="21"/>
                <w:szCs w:val="21"/>
              </w:rPr>
              <w:t>管理方针与企业的经营宗旨相适应，协调；</w:t>
            </w:r>
          </w:p>
          <w:p>
            <w:pPr>
              <w:spacing w:line="300" w:lineRule="exact"/>
              <w:ind w:left="1"/>
              <w:rPr>
                <w:rFonts w:ascii="宋体" w:hAnsi="宋体"/>
                <w:b/>
                <w:sz w:val="21"/>
                <w:szCs w:val="21"/>
              </w:rPr>
            </w:pP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21"/>
                <w:szCs w:val="21"/>
                <w:lang w:val="en-US" w:eastAsia="zh-CN"/>
              </w:rPr>
            </w:pPr>
            <w:r>
              <w:rPr>
                <w:rFonts w:hint="eastAsia" w:ascii="宋体" w:hAnsi="宋体"/>
                <w:b/>
                <w:sz w:val="21"/>
                <w:szCs w:val="21"/>
              </w:rPr>
              <w:t>内部沟通的情况：内部沟通方式：</w:t>
            </w:r>
            <w:r>
              <w:rPr>
                <w:rFonts w:hint="eastAsia" w:ascii="Times New Roman" w:hAnsi="Times New Roman" w:eastAsia="宋体" w:cs="Times New Roman"/>
                <w:sz w:val="21"/>
                <w:szCs w:val="21"/>
                <w:lang w:val="en-US" w:eastAsia="zh-CN"/>
              </w:rPr>
              <w:t>文件、会议、电话、网络、面谈等方式进行内部沟通</w:t>
            </w:r>
          </w:p>
          <w:p>
            <w:pPr>
              <w:spacing w:line="240" w:lineRule="exact"/>
              <w:ind w:firstLine="1687" w:firstLineChars="800"/>
              <w:rPr>
                <w:rFonts w:ascii="宋体" w:hAnsi="宋体"/>
                <w:b/>
                <w:sz w:val="21"/>
                <w:szCs w:val="21"/>
              </w:rPr>
            </w:pPr>
            <w:r>
              <w:rPr>
                <w:rFonts w:hint="eastAsia" w:ascii="宋体" w:hAnsi="宋体"/>
                <w:b/>
                <w:sz w:val="21"/>
                <w:szCs w:val="21"/>
              </w:rPr>
              <w:t>内部沟通的效果：</w:t>
            </w:r>
            <w:r>
              <w:rPr>
                <w:rFonts w:hint="eastAsia" w:ascii="Times New Roman" w:hAnsi="Times New Roman" w:eastAsia="宋体" w:cs="Times New Roman"/>
                <w:sz w:val="21"/>
                <w:szCs w:val="21"/>
                <w:lang w:val="en-US" w:eastAsia="zh-CN"/>
              </w:rPr>
              <w:t>沟通较为顺畅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Times New Roman" w:hAnsi="Times New Roman" w:eastAsia="宋体" w:cs="Times New Roman"/>
                <w:sz w:val="21"/>
                <w:szCs w:val="21"/>
                <w:lang w:val="en-US" w:eastAsia="zh-CN"/>
              </w:rPr>
              <w:t>对顾客回访，进行满意度调查。</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Times New Roman" w:hAnsi="Times New Roman" w:eastAsia="宋体" w:cs="Times New Roman"/>
                <w:sz w:val="21"/>
                <w:szCs w:val="21"/>
                <w:lang w:val="en-US" w:eastAsia="zh-CN"/>
              </w:rPr>
              <w:t>与上级主管部门的沟通，目前沟通都较为顺畅。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Times New Roman" w:hAnsi="Times New Roman" w:eastAsia="宋体" w:cs="Times New Roman"/>
                <w:sz w:val="21"/>
                <w:szCs w:val="21"/>
                <w:lang w:val="en-US" w:eastAsia="zh-CN"/>
              </w:rPr>
              <w:t>外部沟通：文件、会议、电话、面谈、网络等，主要与顾客、供方、上级主管部门的沟通，目前各项沟通都较为顺畅</w:t>
            </w:r>
            <w:r>
              <w:rPr>
                <w:rFonts w:hint="eastAsia" w:ascii="宋体" w:hAnsi="宋体"/>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Times New Roman" w:hAnsi="Times New Roman" w:eastAsia="宋体" w:cs="Times New Roman"/>
                <w:sz w:val="21"/>
                <w:szCs w:val="21"/>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r>
              <w:rPr>
                <w:rFonts w:hint="eastAsia" w:ascii="Times New Roman" w:hAnsi="Times New Roman" w:eastAsia="宋体" w:cs="Times New Roman"/>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imes New Roman" w:hAnsi="Times New Roman" w:eastAsia="宋体" w:cs="Times New Roman"/>
                <w:sz w:val="21"/>
                <w:szCs w:val="21"/>
                <w:lang w:val="en-US" w:eastAsia="zh-CN"/>
              </w:rPr>
              <w:t>公司制定实施了《环境管理制度》、《销售过程环境运行控制程序》、《节约资源管理规定》等环境管理制度。 针对各部门所负责的工作，分别对环境运行过程进行控制</w:t>
            </w:r>
            <w:r>
              <w:rPr>
                <w:rFonts w:hint="eastAsia" w:ascii="Times New Roman" w:hAnsi="Times New Roman" w:eastAsia="宋体" w:cs="Times New Roman"/>
                <w:sz w:val="21"/>
                <w:szCs w:val="21"/>
                <w:lang w:val="en-GB" w:eastAsia="zh-CN"/>
              </w:rPr>
              <w:t>，</w:t>
            </w:r>
            <w:r>
              <w:rPr>
                <w:rFonts w:hint="eastAsia" w:ascii="Times New Roman" w:hAnsi="Times New Roman" w:eastAsia="宋体" w:cs="Times New Roman"/>
                <w:sz w:val="21"/>
                <w:szCs w:val="21"/>
                <w:lang w:val="en-US" w:eastAsia="zh-CN"/>
              </w:rPr>
              <w:t>涉及有固废处置、资源控制、火灾、相关方施加影响等。提供有办公区环境检查记录、固体废弃物处理记录、资源消耗统计表、相关方告知书及发放记录。办公区域干净整洁，配置灭火器等消防设施。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ascii="宋体" w:hAnsi="宋体"/>
                <w:b/>
                <w:sz w:val="21"/>
                <w:szCs w:val="21"/>
              </w:rPr>
            </w:pPr>
            <w:r>
              <w:rPr>
                <w:rFonts w:hint="eastAsia"/>
                <w:sz w:val="21"/>
                <w:szCs w:val="21"/>
                <w:lang w:val="en-GB"/>
              </w:rPr>
              <w:t>编制</w:t>
            </w:r>
            <w:r>
              <w:rPr>
                <w:rFonts w:hint="eastAsia" w:ascii="宋体" w:hAnsi="宋体" w:eastAsia="宋体" w:cs="宋体"/>
                <w:b w:val="0"/>
                <w:bCs/>
                <w:sz w:val="21"/>
              </w:rPr>
              <w:t>危险源</w:t>
            </w:r>
            <w:r>
              <w:rPr>
                <w:rFonts w:hint="eastAsia" w:ascii="宋体" w:hAnsi="宋体" w:eastAsia="宋体" w:cs="宋体"/>
                <w:b w:val="0"/>
                <w:bCs/>
                <w:sz w:val="21"/>
                <w:lang w:val="en-US" w:eastAsia="zh-CN"/>
              </w:rPr>
              <w:t>辨识、风险评价和控制措施确定控制程序、环境和职业健康安全绩效检测程序</w:t>
            </w:r>
            <w:r>
              <w:rPr>
                <w:rFonts w:hint="eastAsia" w:ascii="宋体" w:hAnsi="宋体" w:eastAsia="宋体" w:cs="宋体"/>
              </w:rPr>
              <w:t>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w:t>
            </w:r>
            <w:r>
              <w:rPr>
                <w:rFonts w:hint="eastAsia" w:ascii="方正仿宋简体" w:eastAsia="方正仿宋简体"/>
                <w:b w:val="0"/>
                <w:bCs/>
                <w:color w:val="auto"/>
                <w:lang w:val="en-US" w:eastAsia="zh-CN"/>
              </w:rPr>
              <w:t>。</w:t>
            </w:r>
            <w:r>
              <w:rPr>
                <w:rFonts w:hint="eastAsia"/>
                <w:color w:val="auto"/>
                <w:sz w:val="21"/>
                <w:szCs w:val="21"/>
              </w:rPr>
              <w:t>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演练、触电应急演练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r>
              <w:rPr>
                <w:rFonts w:hint="eastAsia"/>
                <w:sz w:val="21"/>
                <w:szCs w:val="21"/>
                <w:lang w:val="en-US" w:eastAsia="zh-CN"/>
              </w:rPr>
              <w:t>通过演练对预案可行性进行了评价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eastAsia="zh-CN"/>
              </w:rPr>
              <w:t>半年</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12月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ascii="宋体" w:hAnsi="宋体"/>
                <w:b/>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20年10月19日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10</w:t>
            </w:r>
            <w:r>
              <w:rPr>
                <w:rFonts w:hint="eastAsia" w:cs="宋体"/>
              </w:rPr>
              <w:t>月</w:t>
            </w:r>
            <w:r>
              <w:rPr>
                <w:rFonts w:hint="eastAsia" w:cs="宋体"/>
                <w:lang w:val="en-US" w:eastAsia="zh-CN"/>
              </w:rPr>
              <w:t>23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300" w:lineRule="exact"/>
              <w:rPr>
                <w:rFonts w:hint="eastAsia" w:eastAsia="宋体"/>
                <w:b/>
                <w:color w:val="auto"/>
                <w:sz w:val="20"/>
                <w:szCs w:val="20"/>
                <w:lang w:eastAsia="zh-CN"/>
              </w:rPr>
            </w:pPr>
            <w:r>
              <w:rPr>
                <w:rFonts w:hint="eastAsia"/>
                <w:b/>
                <w:color w:val="auto"/>
                <w:sz w:val="20"/>
                <w:szCs w:val="20"/>
                <w:lang w:eastAsia="zh-CN"/>
              </w:rPr>
              <w:t>对员工进行了体检的证据，符合要求。无职业病。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2"/>
              </w:numPr>
              <w:spacing w:line="240" w:lineRule="exact"/>
              <w:ind w:left="0" w:leftChars="0" w:firstLine="0" w:firstLine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rPr>
                <w:rFonts w:hint="default" w:ascii="宋体" w:hAnsi="宋体" w:eastAsia="宋体"/>
                <w:b/>
                <w:sz w:val="21"/>
                <w:szCs w:val="21"/>
                <w:lang w:val="en-US" w:eastAsia="zh-CN"/>
              </w:rPr>
            </w:pPr>
            <w:r>
              <w:rPr>
                <w:rFonts w:hint="eastAsia" w:ascii="宋体" w:hAnsi="宋体"/>
                <w:b/>
                <w:sz w:val="21"/>
                <w:szCs w:val="21"/>
                <w:lang w:val="en-US" w:eastAsia="zh-CN"/>
              </w:rPr>
              <w:t>已整改完成</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Times New Roman" w:hAnsi="Times New Roman" w:cs="Times New Roman"/>
                <w:sz w:val="21"/>
                <w:szCs w:val="20"/>
                <w:u w:val="single"/>
                <w:lang w:val="en-US" w:eastAsia="zh-CN"/>
              </w:rPr>
              <w:t>北京首铁天佑科技有限公司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rPr>
          <w:rFonts w:hint="eastAsia"/>
          <w:b w:val="0"/>
          <w:bCs/>
          <w:color w:val="000000" w:themeColor="text1"/>
          <w:lang w:val="en-US" w:eastAsia="zh-CN"/>
        </w:rPr>
        <w:t>受疫情影响采取远程审核方式，审核发现受限</w:t>
      </w: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1312" behindDoc="0" locked="0" layoutInCell="1" allowOverlap="1">
            <wp:simplePos x="0" y="0"/>
            <wp:positionH relativeFrom="column">
              <wp:posOffset>1642745</wp:posOffset>
            </wp:positionH>
            <wp:positionV relativeFrom="paragraph">
              <wp:posOffset>138430</wp:posOffset>
            </wp:positionV>
            <wp:extent cx="1104900" cy="586740"/>
            <wp:effectExtent l="0" t="0" r="7620" b="762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104900" cy="58674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0</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eastAsia="宋体"/>
          <w:b/>
          <w:sz w:val="21"/>
          <w:lang w:eastAsia="zh-CN"/>
        </w:rPr>
        <w:drawing>
          <wp:anchor distT="0" distB="0" distL="114300" distR="114300" simplePos="0" relativeHeight="251665408" behindDoc="0" locked="0" layoutInCell="1" allowOverlap="1">
            <wp:simplePos x="0" y="0"/>
            <wp:positionH relativeFrom="column">
              <wp:posOffset>1193165</wp:posOffset>
            </wp:positionH>
            <wp:positionV relativeFrom="paragraph">
              <wp:posOffset>19685</wp:posOffset>
            </wp:positionV>
            <wp:extent cx="693420" cy="368300"/>
            <wp:effectExtent l="0" t="0" r="7620" b="1270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693420" cy="368300"/>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D5B94"/>
    <w:multiLevelType w:val="singleLevel"/>
    <w:tmpl w:val="C0AD5B94"/>
    <w:lvl w:ilvl="0" w:tentative="0">
      <w:start w:val="8"/>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469AB5D"/>
    <w:multiLevelType w:val="singleLevel"/>
    <w:tmpl w:val="6469AB5D"/>
    <w:lvl w:ilvl="0" w:tentative="0">
      <w:start w:val="5"/>
      <w:numFmt w:val="decimal"/>
      <w:suff w:val="space"/>
      <w:lvlText w:val="%1."/>
      <w:lvlJc w:val="left"/>
    </w:lvl>
  </w:abstractNum>
  <w:abstractNum w:abstractNumId="4">
    <w:nsid w:val="6D51D9B8"/>
    <w:multiLevelType w:val="singleLevel"/>
    <w:tmpl w:val="6D51D9B8"/>
    <w:lvl w:ilvl="0" w:tentative="0">
      <w:start w:val="2"/>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86351"/>
    <w:rsid w:val="2B014732"/>
    <w:rsid w:val="5D630BA0"/>
    <w:rsid w:val="7F124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uiPriority w:val="99"/>
    <w:rPr>
      <w:sz w:val="18"/>
      <w:szCs w:val="18"/>
    </w:rPr>
  </w:style>
  <w:style w:type="paragraph" w:styleId="4">
    <w:name w:val="footer"/>
    <w:basedOn w:val="1"/>
    <w:link w:val="9"/>
    <w:semiHidden/>
    <w:uiPriority w:val="99"/>
    <w:pPr>
      <w:tabs>
        <w:tab w:val="center" w:pos="4153"/>
        <w:tab w:val="right" w:pos="8306"/>
      </w:tabs>
      <w:snapToGrid w:val="0"/>
      <w:jc w:val="left"/>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locked/>
    <w:uiPriority w:val="99"/>
    <w:rPr>
      <w:rFonts w:ascii="Times New Roman" w:hAnsi="Times New Roman" w:eastAsia="宋体" w:cs="Times New Roman"/>
      <w:sz w:val="18"/>
      <w:szCs w:val="18"/>
    </w:rPr>
  </w:style>
  <w:style w:type="character" w:customStyle="1" w:styleId="9">
    <w:name w:val="页脚 Char"/>
    <w:link w:val="4"/>
    <w:semiHidden/>
    <w:locked/>
    <w:uiPriority w:val="99"/>
    <w:rPr>
      <w:rFonts w:ascii="Times New Roman" w:hAnsi="Times New Roman" w:eastAsia="宋体" w:cs="Times New Roman"/>
      <w:sz w:val="18"/>
      <w:szCs w:val="18"/>
    </w:rPr>
  </w:style>
  <w:style w:type="character" w:customStyle="1" w:styleId="10">
    <w:name w:val="页眉 Char"/>
    <w:link w:val="2"/>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8</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李蒙生</cp:lastModifiedBy>
  <cp:lastPrinted>2019-04-18T08:15:00Z</cp:lastPrinted>
  <dcterms:modified xsi:type="dcterms:W3CDTF">2021-01-19T06:02:31Z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