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960"/>
        <w:gridCol w:w="744"/>
        <w:gridCol w:w="926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54" w:type="dxa"/>
            <w:vMerge w:val="restart"/>
            <w:vAlign w:val="center"/>
          </w:tcPr>
          <w:p>
            <w:pPr>
              <w:spacing w:before="120"/>
              <w:jc w:val="center"/>
              <w:rPr>
                <w:color w:val="auto"/>
                <w:sz w:val="24"/>
                <w:szCs w:val="24"/>
                <w:highlight w:val="none"/>
                <w:shd w:val="clear" w:color="auto" w:fill="auto"/>
              </w:rPr>
            </w:pPr>
            <w:r>
              <w:rPr>
                <w:rFonts w:hint="eastAsia"/>
                <w:color w:val="auto"/>
                <w:sz w:val="24"/>
                <w:szCs w:val="24"/>
                <w:highlight w:val="none"/>
                <w:shd w:val="clear" w:color="auto" w:fill="auto"/>
              </w:rPr>
              <w:t>过程与活动、</w:t>
            </w:r>
          </w:p>
          <w:p>
            <w:pPr>
              <w:jc w:val="center"/>
              <w:rPr>
                <w:color w:val="auto"/>
                <w:highlight w:val="none"/>
                <w:shd w:val="clear" w:color="auto" w:fill="auto"/>
              </w:rPr>
            </w:pPr>
            <w:r>
              <w:rPr>
                <w:rFonts w:hint="eastAsia"/>
                <w:color w:val="auto"/>
                <w:sz w:val="24"/>
                <w:szCs w:val="24"/>
                <w:highlight w:val="none"/>
                <w:shd w:val="clear" w:color="auto" w:fill="auto"/>
              </w:rPr>
              <w:t>抽样计划</w:t>
            </w:r>
          </w:p>
        </w:tc>
        <w:tc>
          <w:tcPr>
            <w:tcW w:w="960" w:type="dxa"/>
            <w:vMerge w:val="restart"/>
            <w:vAlign w:val="center"/>
          </w:tcPr>
          <w:p>
            <w:pPr>
              <w:rPr>
                <w:color w:val="auto"/>
                <w:sz w:val="24"/>
                <w:szCs w:val="24"/>
                <w:highlight w:val="none"/>
                <w:shd w:val="clear" w:color="auto" w:fill="auto"/>
              </w:rPr>
            </w:pPr>
            <w:r>
              <w:rPr>
                <w:rFonts w:hint="eastAsia"/>
                <w:color w:val="auto"/>
                <w:sz w:val="24"/>
                <w:szCs w:val="24"/>
                <w:highlight w:val="none"/>
                <w:shd w:val="clear" w:color="auto" w:fill="auto"/>
              </w:rPr>
              <w:t>涉及</w:t>
            </w:r>
          </w:p>
          <w:p>
            <w:pPr>
              <w:rPr>
                <w:color w:val="auto"/>
                <w:highlight w:val="none"/>
                <w:shd w:val="clear" w:color="auto" w:fill="auto"/>
              </w:rPr>
            </w:pPr>
            <w:r>
              <w:rPr>
                <w:rFonts w:hint="eastAsia"/>
                <w:color w:val="auto"/>
                <w:sz w:val="24"/>
                <w:szCs w:val="24"/>
                <w:highlight w:val="none"/>
                <w:shd w:val="clear" w:color="auto" w:fill="auto"/>
              </w:rPr>
              <w:t>条款</w:t>
            </w:r>
          </w:p>
        </w:tc>
        <w:tc>
          <w:tcPr>
            <w:tcW w:w="10013" w:type="dxa"/>
            <w:gridSpan w:val="2"/>
            <w:vAlign w:val="center"/>
          </w:tcPr>
          <w:p>
            <w:pP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rPr>
              <w:t>受审核部门：领导层</w:t>
            </w:r>
            <w:r>
              <w:rPr>
                <w:color w:val="auto"/>
                <w:sz w:val="24"/>
                <w:szCs w:val="24"/>
                <w:highlight w:val="none"/>
                <w:shd w:val="clear" w:color="auto" w:fill="auto"/>
              </w:rPr>
              <w:t xml:space="preserve">    </w:t>
            </w:r>
            <w:r>
              <w:rPr>
                <w:rFonts w:hint="eastAsia"/>
                <w:color w:val="auto"/>
                <w:sz w:val="24"/>
                <w:szCs w:val="24"/>
                <w:highlight w:val="none"/>
                <w:shd w:val="clear" w:color="auto" w:fill="auto"/>
              </w:rPr>
              <w:t>陪同人员：</w:t>
            </w:r>
            <w:bookmarkStart w:id="0" w:name="联系人"/>
            <w:r>
              <w:rPr>
                <w:color w:val="auto"/>
                <w:sz w:val="21"/>
                <w:szCs w:val="21"/>
                <w:highlight w:val="none"/>
                <w:shd w:val="clear" w:color="auto" w:fill="auto"/>
              </w:rPr>
              <w:t>张小民</w:t>
            </w:r>
            <w:bookmarkEnd w:id="0"/>
          </w:p>
        </w:tc>
        <w:tc>
          <w:tcPr>
            <w:tcW w:w="1582" w:type="dxa"/>
            <w:vMerge w:val="restart"/>
            <w:vAlign w:val="center"/>
          </w:tcPr>
          <w:p>
            <w:pPr>
              <w:rPr>
                <w:color w:val="auto"/>
                <w:sz w:val="24"/>
                <w:szCs w:val="24"/>
                <w:highlight w:val="none"/>
                <w:shd w:val="clear" w:color="auto" w:fill="auto"/>
              </w:rPr>
            </w:pPr>
            <w:r>
              <w:rPr>
                <w:rFonts w:hint="eastAsia"/>
                <w:color w:val="auto"/>
                <w:sz w:val="24"/>
                <w:szCs w:val="24"/>
                <w:highlight w:val="none"/>
                <w:shd w:val="clear" w:color="auto" w:fil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54" w:type="dxa"/>
            <w:vMerge w:val="continue"/>
            <w:vAlign w:val="center"/>
          </w:tcPr>
          <w:p>
            <w:pPr>
              <w:rPr>
                <w:color w:val="auto"/>
                <w:highlight w:val="none"/>
                <w:shd w:val="clear" w:color="auto" w:fill="auto"/>
              </w:rPr>
            </w:pPr>
          </w:p>
        </w:tc>
        <w:tc>
          <w:tcPr>
            <w:tcW w:w="960" w:type="dxa"/>
            <w:vMerge w:val="continue"/>
            <w:vAlign w:val="center"/>
          </w:tcPr>
          <w:p>
            <w:pPr>
              <w:rPr>
                <w:color w:val="auto"/>
                <w:highlight w:val="none"/>
                <w:shd w:val="clear" w:color="auto" w:fill="auto"/>
              </w:rPr>
            </w:pPr>
          </w:p>
        </w:tc>
        <w:tc>
          <w:tcPr>
            <w:tcW w:w="10013" w:type="dxa"/>
            <w:gridSpan w:val="2"/>
            <w:vAlign w:val="center"/>
          </w:tcPr>
          <w:p>
            <w:pPr>
              <w:spacing w:before="120"/>
              <w:rPr>
                <w:rFonts w:hint="default"/>
                <w:color w:val="auto"/>
                <w:highlight w:val="none"/>
                <w:shd w:val="clear" w:color="auto" w:fill="auto"/>
                <w:lang w:val="en-US"/>
              </w:rPr>
            </w:pPr>
            <w:r>
              <w:rPr>
                <w:rFonts w:hint="eastAsia"/>
                <w:color w:val="auto"/>
                <w:sz w:val="24"/>
                <w:szCs w:val="24"/>
                <w:highlight w:val="none"/>
                <w:shd w:val="clear" w:color="auto" w:fill="auto"/>
              </w:rPr>
              <w:t xml:space="preserve">审核员： </w:t>
            </w:r>
            <w:r>
              <w:rPr>
                <w:rFonts w:hint="eastAsia"/>
                <w:color w:val="auto"/>
                <w:sz w:val="24"/>
                <w:szCs w:val="24"/>
                <w:highlight w:val="none"/>
                <w:shd w:val="clear" w:color="auto" w:fill="auto"/>
                <w:lang w:val="en-US" w:eastAsia="zh-CN"/>
              </w:rPr>
              <w:t>张磊</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审核</w:t>
            </w:r>
            <w:r>
              <w:rPr>
                <w:rFonts w:hint="eastAsia"/>
                <w:color w:val="auto"/>
                <w:sz w:val="24"/>
                <w:szCs w:val="24"/>
                <w:highlight w:val="none"/>
                <w:shd w:val="clear" w:color="auto" w:fill="auto"/>
                <w:lang w:val="en-US" w:eastAsia="zh-CN"/>
              </w:rPr>
              <w:t>日期</w:t>
            </w:r>
            <w:r>
              <w:rPr>
                <w:rFonts w:hint="eastAsia"/>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2021-01-17 </w:t>
            </w:r>
          </w:p>
        </w:tc>
        <w:tc>
          <w:tcPr>
            <w:tcW w:w="1582" w:type="dxa"/>
            <w:vMerge w:val="continue"/>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4" w:type="dxa"/>
            <w:vMerge w:val="continue"/>
            <w:vAlign w:val="center"/>
          </w:tcPr>
          <w:p>
            <w:pPr>
              <w:rPr>
                <w:color w:val="auto"/>
                <w:highlight w:val="none"/>
                <w:shd w:val="clear" w:color="auto" w:fill="auto"/>
              </w:rPr>
            </w:pPr>
          </w:p>
        </w:tc>
        <w:tc>
          <w:tcPr>
            <w:tcW w:w="960" w:type="dxa"/>
            <w:vMerge w:val="continue"/>
            <w:vAlign w:val="center"/>
          </w:tcPr>
          <w:p>
            <w:pPr>
              <w:rPr>
                <w:color w:val="auto"/>
                <w:highlight w:val="none"/>
                <w:shd w:val="clear" w:color="auto" w:fill="auto"/>
              </w:rPr>
            </w:pPr>
          </w:p>
        </w:tc>
        <w:tc>
          <w:tcPr>
            <w:tcW w:w="10013" w:type="dxa"/>
            <w:gridSpan w:val="2"/>
            <w:vAlign w:val="center"/>
          </w:tcPr>
          <w:p>
            <w:pPr>
              <w:rPr>
                <w:color w:val="auto"/>
                <w:sz w:val="21"/>
                <w:szCs w:val="21"/>
                <w:highlight w:val="none"/>
                <w:shd w:val="clear" w:color="auto" w:fill="auto"/>
                <w:lang w:eastAsia="zh-CN"/>
              </w:rPr>
            </w:pPr>
            <w:r>
              <w:rPr>
                <w:rFonts w:hint="eastAsia"/>
                <w:color w:val="auto"/>
                <w:sz w:val="24"/>
                <w:szCs w:val="24"/>
                <w:highlight w:val="none"/>
                <w:shd w:val="clear" w:color="auto" w:fill="auto"/>
              </w:rPr>
              <w:t>审核条款：</w:t>
            </w:r>
            <w:r>
              <w:rPr>
                <w:rFonts w:hint="eastAsia"/>
                <w:color w:val="auto"/>
                <w:sz w:val="21"/>
                <w:szCs w:val="21"/>
                <w:highlight w:val="none"/>
                <w:shd w:val="clear" w:color="auto" w:fill="auto"/>
                <w:lang w:eastAsia="zh-CN"/>
              </w:rPr>
              <w:t>EMS：4.1 4.2 4.3 4.4 5.1 5.2 5.3 6.1 6.2 7.1 7.4 9.3 10.1</w:t>
            </w:r>
          </w:p>
          <w:p>
            <w:pPr>
              <w:ind w:firstLine="1260" w:firstLineChars="600"/>
              <w:rPr>
                <w:color w:val="auto"/>
                <w:szCs w:val="21"/>
                <w:highlight w:val="none"/>
                <w:shd w:val="clear" w:color="auto" w:fill="auto"/>
              </w:rPr>
            </w:pPr>
            <w:r>
              <w:rPr>
                <w:rFonts w:hint="eastAsia"/>
                <w:color w:val="auto"/>
                <w:sz w:val="21"/>
                <w:szCs w:val="21"/>
                <w:highlight w:val="none"/>
                <w:shd w:val="clear" w:color="auto" w:fill="auto"/>
                <w:lang w:eastAsia="zh-CN"/>
              </w:rPr>
              <w:t>OHS：4.1 4.2 4.3 4.4 5.1 5.2 5.3 6.1 6.2 7.1 7.4 9.3 10.1</w:t>
            </w:r>
          </w:p>
        </w:tc>
        <w:tc>
          <w:tcPr>
            <w:tcW w:w="1582" w:type="dxa"/>
            <w:vMerge w:val="continue"/>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eastAsia="宋体"/>
                <w:color w:val="auto"/>
                <w:highlight w:val="none"/>
                <w:shd w:val="clear" w:color="auto" w:fill="auto"/>
                <w:lang w:eastAsia="zh-CN"/>
              </w:rPr>
            </w:pPr>
            <w:r>
              <w:rPr>
                <w:rFonts w:hint="eastAsia"/>
                <w:color w:val="auto"/>
                <w:highlight w:val="none"/>
                <w:shd w:val="clear" w:color="auto" w:fill="auto"/>
              </w:rPr>
              <w:t>理解组织及其</w:t>
            </w:r>
            <w:r>
              <w:rPr>
                <w:rFonts w:hint="eastAsia"/>
                <w:color w:val="auto"/>
                <w:highlight w:val="none"/>
                <w:shd w:val="clear" w:color="auto" w:fill="auto"/>
                <w:lang w:val="en-US" w:eastAsia="zh-CN"/>
              </w:rPr>
              <w:t>所处的</w:t>
            </w:r>
            <w:r>
              <w:rPr>
                <w:rFonts w:hint="eastAsia"/>
                <w:color w:val="auto"/>
                <w:highlight w:val="none"/>
                <w:shd w:val="clear" w:color="auto" w:fill="auto"/>
                <w:lang w:eastAsia="zh-CN"/>
              </w:rPr>
              <w:t>环境和职业健康</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 xml:space="preserve">4.1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w:t>
            </w:r>
            <w:r>
              <w:rPr>
                <w:rFonts w:hint="eastAsia"/>
                <w:color w:val="auto"/>
                <w:highlight w:val="none"/>
                <w:shd w:val="clear" w:color="auto" w:fill="auto"/>
              </w:rPr>
              <w:t>组织及其</w:t>
            </w:r>
            <w:r>
              <w:rPr>
                <w:rFonts w:hint="eastAsia"/>
                <w:color w:val="auto"/>
                <w:highlight w:val="none"/>
                <w:shd w:val="clear" w:color="auto" w:fill="auto"/>
                <w:lang w:eastAsia="zh-CN"/>
              </w:rPr>
              <w:t>环境和职业健康</w:t>
            </w:r>
            <w:r>
              <w:rPr>
                <w:rFonts w:hint="eastAsia"/>
                <w:color w:val="auto"/>
                <w:highlight w:val="none"/>
                <w:shd w:val="clear" w:color="auto" w:fill="auto"/>
                <w:lang w:val="en-US" w:eastAsia="zh-CN"/>
              </w:rPr>
              <w:t>控制程序》、</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管理手册第4.1章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62" w:hRule="atLeast"/>
        </w:trPr>
        <w:tc>
          <w:tcPr>
            <w:tcW w:w="2154" w:type="dxa"/>
            <w:vMerge w:val="continue"/>
            <w:shd w:val="clear" w:color="auto" w:fill="FFFF00"/>
          </w:tcPr>
          <w:p>
            <w:pPr>
              <w:rPr>
                <w:color w:val="auto"/>
                <w:highlight w:val="none"/>
                <w:shd w:val="clear" w:color="auto" w:fill="auto"/>
              </w:rPr>
            </w:pPr>
          </w:p>
        </w:tc>
        <w:tc>
          <w:tcPr>
            <w:tcW w:w="960" w:type="dxa"/>
            <w:vMerge w:val="continue"/>
            <w:shd w:val="clear" w:color="auto" w:fill="FFFF00"/>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 与最高管理者沟通：</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组织的环境和职业健康：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外部环境和职业健康</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法律法规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技术 </w:t>
                  </w:r>
                  <w:r>
                    <w:rPr>
                      <w:rFonts w:hint="eastAsia"/>
                      <w:color w:val="auto"/>
                      <w:highlight w:val="none"/>
                      <w:shd w:val="clear" w:color="auto" w:fill="auto"/>
                      <w:lang w:eastAsia="zh-CN"/>
                    </w:rPr>
                    <w:sym w:font="Wingdings 2" w:char="0052"/>
                  </w:r>
                  <w:r>
                    <w:rPr>
                      <w:rFonts w:hint="eastAsia"/>
                      <w:color w:val="auto"/>
                      <w:highlight w:val="none"/>
                      <w:shd w:val="clear" w:color="auto" w:fill="auto"/>
                      <w:vertAlign w:val="baseline"/>
                      <w:lang w:val="en-US" w:eastAsia="zh-CN"/>
                    </w:rPr>
                    <w:t xml:space="preserve">竞争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市场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 xml:space="preserve">文化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 xml:space="preserve">社会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经济环境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自然环境和职业健康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列举主要的内容</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安环法律法规越来越严格、监管部门查核频繁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内部环境和职业健康</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价值观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文化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知识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绩效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工艺</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设备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人员能力 </w:t>
                  </w:r>
                  <w:r>
                    <w:rPr>
                      <w:rFonts w:hint="eastAsia"/>
                      <w:color w:val="auto"/>
                      <w:highlight w:val="none"/>
                      <w:shd w:val="clear" w:color="auto" w:fill="auto"/>
                    </w:rPr>
                    <w:t>□</w:t>
                  </w:r>
                  <w:r>
                    <w:rPr>
                      <w:rFonts w:hint="eastAsia"/>
                      <w:color w:val="auto"/>
                      <w:highlight w:val="none"/>
                      <w:shd w:val="clear" w:color="auto" w:fill="auto"/>
                      <w:lang w:val="en-US" w:eastAsia="zh-CN"/>
                    </w:rPr>
                    <w:t>其他</w:t>
                  </w:r>
                  <w:r>
                    <w:rPr>
                      <w:rFonts w:hint="eastAsia"/>
                      <w:color w:val="auto"/>
                      <w:highlight w:val="none"/>
                      <w:shd w:val="clear" w:color="auto" w:fill="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列举主要的内容</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员工环保意识较强，企业文化宣传到位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组织优势说明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企业生产工艺简单，造成得环境污染和人身安全问题较少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组织劣势说明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公司所处位置为郊区，员工上下班造成的安全隐患和环境影响较大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主要风险的说明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人身事故，汽车尾气排放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val="en-US" w:eastAsia="zh-CN"/>
                    </w:rPr>
                    <w:t>机遇的说明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eastAsia="zh-CN"/>
                    </w:rPr>
                  </w:pPr>
                  <w:r>
                    <w:rPr>
                      <w:rFonts w:hint="eastAsia"/>
                      <w:color w:val="auto"/>
                      <w:highlight w:val="none"/>
                      <w:shd w:val="clear" w:color="auto" w:fill="auto"/>
                      <w:lang w:val="en-US" w:eastAsia="zh-CN"/>
                    </w:rPr>
                    <w:t>与同类企业相比公司技术水平高，竞争优势大</w:t>
                  </w:r>
                </w:p>
              </w:tc>
            </w:tr>
          </w:tbl>
          <w:p>
            <w:pPr>
              <w:rPr>
                <w:rFonts w:hint="eastAsia"/>
                <w:color w:val="auto"/>
                <w:szCs w:val="21"/>
                <w:highlight w:val="none"/>
                <w:shd w:val="clear" w:color="auto" w:fill="auto"/>
                <w:lang w:val="en-US" w:eastAsia="zh-CN"/>
              </w:rPr>
            </w:pPr>
          </w:p>
          <w:p>
            <w:pPr>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t>主要证据体现在</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w:t>
            </w:r>
            <w:r>
              <w:rPr>
                <w:rFonts w:hint="eastAsia"/>
                <w:color w:val="auto"/>
                <w:highlight w:val="none"/>
                <w:shd w:val="clear" w:color="auto" w:fill="auto"/>
              </w:rPr>
              <w:t>组织及其</w:t>
            </w:r>
            <w:r>
              <w:rPr>
                <w:rFonts w:hint="eastAsia"/>
                <w:color w:val="auto"/>
                <w:highlight w:val="none"/>
                <w:shd w:val="clear" w:color="auto" w:fill="auto"/>
                <w:lang w:eastAsia="zh-CN"/>
              </w:rPr>
              <w:t>环境和职业健康</w:t>
            </w:r>
            <w:r>
              <w:rPr>
                <w:rFonts w:hint="eastAsia"/>
                <w:color w:val="auto"/>
                <w:highlight w:val="none"/>
                <w:shd w:val="clear" w:color="auto" w:fill="auto"/>
                <w:lang w:val="en-US" w:eastAsia="zh-CN"/>
              </w:rPr>
              <w:t xml:space="preserve">分析表》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《年度业务计划》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tc>
        <w:tc>
          <w:tcPr>
            <w:tcW w:w="1582" w:type="dxa"/>
            <w:vMerge w:val="continue"/>
            <w:shd w:val="clear" w:color="auto" w:fill="FFFF00"/>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rPr>
              <w:t>理解相关方的需求和期望</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 xml:space="preserve">4.2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w:t>
            </w:r>
            <w:r>
              <w:rPr>
                <w:rFonts w:hint="eastAsia"/>
                <w:color w:val="auto"/>
                <w:highlight w:val="none"/>
                <w:shd w:val="clear" w:color="auto" w:fill="auto"/>
              </w:rPr>
              <w:t>理解相关方的需求和期望</w:t>
            </w:r>
            <w:r>
              <w:rPr>
                <w:rFonts w:hint="eastAsia"/>
                <w:color w:val="auto"/>
                <w:highlight w:val="none"/>
                <w:shd w:val="clear" w:color="auto" w:fill="auto"/>
                <w:lang w:val="en-US" w:eastAsia="zh-CN"/>
              </w:rPr>
              <w:t>控制程序》、</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管理手册第4.2章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11"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443"/>
              <w:gridCol w:w="366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重要的相关方</w:t>
                  </w:r>
                </w:p>
              </w:tc>
              <w:tc>
                <w:tcPr>
                  <w:tcW w:w="2443"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相关方名称举例</w:t>
                  </w:r>
                </w:p>
              </w:tc>
              <w:tc>
                <w:tcPr>
                  <w:tcW w:w="366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主管部门</w:t>
                  </w:r>
                </w:p>
              </w:tc>
              <w:tc>
                <w:tcPr>
                  <w:tcW w:w="2443"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如南京市水务与环境和职业健康管理局</w:t>
                  </w:r>
                </w:p>
              </w:tc>
              <w:tc>
                <w:tcPr>
                  <w:tcW w:w="366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遵守环境和职业健康和安全相关的法律法规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供方</w:t>
                  </w:r>
                </w:p>
              </w:tc>
              <w:tc>
                <w:tcPr>
                  <w:tcW w:w="2443" w:type="dxa"/>
                  <w:vAlign w:val="top"/>
                </w:tcPr>
                <w:p>
                  <w:pPr>
                    <w:jc w:val="left"/>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rPr>
                    <w:t>例如：</w:t>
                  </w:r>
                  <w:r>
                    <w:rPr>
                      <w:rFonts w:hint="eastAsia"/>
                      <w:color w:val="auto"/>
                      <w:highlight w:val="none"/>
                      <w:shd w:val="clear" w:color="auto" w:fill="auto"/>
                      <w:lang w:val="en-US" w:eastAsia="zh-CN"/>
                    </w:rPr>
                    <w:t>南京浦江电子有限公司</w:t>
                  </w:r>
                </w:p>
              </w:tc>
              <w:tc>
                <w:tcPr>
                  <w:tcW w:w="366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顾客</w:t>
                  </w:r>
                </w:p>
              </w:tc>
              <w:tc>
                <w:tcPr>
                  <w:tcW w:w="2443" w:type="dxa"/>
                  <w:vAlign w:val="top"/>
                </w:tcPr>
                <w:p>
                  <w:pPr>
                    <w:jc w:val="left"/>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rPr>
                    <w:t>例如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九甸峡水电站机组计算机监控系统改造项目</w:t>
                  </w:r>
                  <w:r>
                    <w:rPr>
                      <w:rFonts w:hint="eastAsia"/>
                      <w:color w:val="auto"/>
                      <w:highlight w:val="none"/>
                      <w:shd w:val="clear" w:color="auto" w:fill="auto"/>
                      <w:lang w:eastAsia="zh-CN"/>
                    </w:rPr>
                    <w:t xml:space="preserve"> </w:t>
                  </w:r>
                </w:p>
              </w:tc>
              <w:tc>
                <w:tcPr>
                  <w:tcW w:w="3663"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w:t>
                  </w:r>
                  <w:r>
                    <w:rPr>
                      <w:rFonts w:hint="eastAsia"/>
                      <w:color w:val="auto"/>
                      <w:highlight w:val="none"/>
                      <w:shd w:val="clear" w:color="auto" w:fill="auto"/>
                      <w:vertAlign w:val="baseline"/>
                      <w:lang w:val="en-US" w:eastAsia="zh-CN"/>
                    </w:rPr>
                    <w:t>职业健康安全和</w:t>
                  </w:r>
                  <w:r>
                    <w:rPr>
                      <w:rFonts w:hint="eastAsia"/>
                      <w:color w:val="auto"/>
                      <w:highlight w:val="none"/>
                      <w:shd w:val="clear" w:color="auto" w:fill="auto"/>
                      <w:lang w:val="en-US" w:eastAsia="zh-CN"/>
                    </w:rPr>
                    <w:t>环保问题影响</w:t>
                  </w:r>
                  <w:r>
                    <w:rPr>
                      <w:rFonts w:hint="eastAsia"/>
                      <w:color w:val="auto"/>
                      <w:highlight w:val="none"/>
                      <w:shd w:val="clear" w:color="auto" w:fill="auto"/>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消费者</w:t>
                  </w:r>
                </w:p>
              </w:tc>
              <w:tc>
                <w:tcPr>
                  <w:tcW w:w="2443"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w:t>
                  </w:r>
                </w:p>
              </w:tc>
              <w:tc>
                <w:tcPr>
                  <w:tcW w:w="366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不因使用（如耗电）和最终处置带来麻烦</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员工</w:t>
                  </w:r>
                </w:p>
              </w:tc>
              <w:tc>
                <w:tcPr>
                  <w:tcW w:w="244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s="Times New Roman"/>
                      <w:color w:val="auto"/>
                      <w:kern w:val="2"/>
                      <w:sz w:val="21"/>
                      <w:szCs w:val="24"/>
                      <w:highlight w:val="none"/>
                      <w:shd w:val="clear" w:color="auto" w:fill="auto"/>
                      <w:vertAlign w:val="baseline"/>
                      <w:lang w:val="en-US" w:eastAsia="zh-CN" w:bidi="ar-SA"/>
                    </w:rPr>
                    <w:t>——</w:t>
                  </w:r>
                </w:p>
              </w:tc>
              <w:tc>
                <w:tcPr>
                  <w:tcW w:w="366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不因环保问题停产，</w:t>
                  </w:r>
                  <w:r>
                    <w:rPr>
                      <w:rFonts w:hint="eastAsia"/>
                      <w:color w:val="auto"/>
                      <w:highlight w:val="none"/>
                      <w:shd w:val="clear" w:color="auto" w:fill="auto"/>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投资方</w:t>
                  </w:r>
                </w:p>
              </w:tc>
              <w:tc>
                <w:tcPr>
                  <w:tcW w:w="244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p>
              </w:tc>
              <w:tc>
                <w:tcPr>
                  <w:tcW w:w="366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不因环保和</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问题停产，</w:t>
                  </w:r>
                  <w:r>
                    <w:rPr>
                      <w:rFonts w:hint="eastAsia"/>
                      <w:color w:val="auto"/>
                      <w:highlight w:val="none"/>
                      <w:shd w:val="clear" w:color="auto" w:fill="auto"/>
                      <w:vertAlign w:val="baseline"/>
                      <w:lang w:val="en-US" w:eastAsia="zh-CN"/>
                    </w:rPr>
                    <w:t>组织持续经营、盈利</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社区</w:t>
                  </w:r>
                </w:p>
              </w:tc>
              <w:tc>
                <w:tcPr>
                  <w:tcW w:w="244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如南京江北新区高新开发区</w:t>
                  </w:r>
                </w:p>
              </w:tc>
              <w:tc>
                <w:tcPr>
                  <w:tcW w:w="366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不因环保问题影响污染周围的环境和职业健康</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事故</w:t>
                  </w:r>
                  <w:r>
                    <w:rPr>
                      <w:rFonts w:hint="eastAsia"/>
                      <w:color w:val="auto"/>
                      <w:highlight w:val="none"/>
                      <w:shd w:val="clear" w:color="auto" w:fill="auto"/>
                      <w:vertAlign w:val="baseline"/>
                      <w:lang w:val="en-US" w:eastAsia="zh-CN"/>
                    </w:rPr>
                    <w:t>，</w:t>
                  </w:r>
                  <w:r>
                    <w:rPr>
                      <w:rFonts w:hint="eastAsia"/>
                      <w:color w:val="auto"/>
                      <w:highlight w:val="none"/>
                      <w:shd w:val="clear" w:color="auto" w:fill="auto"/>
                      <w:lang w:val="en-US" w:eastAsia="zh-CN"/>
                    </w:rPr>
                    <w:t>良好安全的合作机会</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其他</w:t>
                  </w:r>
                </w:p>
              </w:tc>
              <w:tc>
                <w:tcPr>
                  <w:tcW w:w="2443"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tc>
              <w:tc>
                <w:tcPr>
                  <w:tcW w:w="3663"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bl>
          <w:p>
            <w:pPr>
              <w:rPr>
                <w:rFonts w:hint="eastAsia"/>
                <w:color w:val="auto"/>
                <w:szCs w:val="21"/>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szCs w:val="21"/>
                <w:highlight w:val="none"/>
                <w:shd w:val="clear" w:color="auto" w:fill="auto"/>
                <w:lang w:val="en-US" w:eastAsia="zh-CN"/>
              </w:rPr>
              <w:t>主要证据体现在</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w:t>
            </w:r>
            <w:r>
              <w:rPr>
                <w:rFonts w:hint="eastAsia"/>
                <w:color w:val="auto"/>
                <w:highlight w:val="none"/>
                <w:shd w:val="clear" w:color="auto" w:fill="auto"/>
              </w:rPr>
              <w:t>相关方的需求和期望</w:t>
            </w:r>
            <w:r>
              <w:rPr>
                <w:rFonts w:hint="eastAsia"/>
                <w:color w:val="auto"/>
                <w:highlight w:val="none"/>
                <w:shd w:val="clear" w:color="auto" w:fill="auto"/>
                <w:lang w:val="en-US" w:eastAsia="zh-CN"/>
              </w:rPr>
              <w:t xml:space="preserve">分析表》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《年度业务计划》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lang w:val="en-US" w:eastAsia="zh-CN"/>
              </w:rPr>
            </w:pPr>
          </w:p>
          <w:p>
            <w:pPr>
              <w:rPr>
                <w:rFonts w:hint="eastAsia"/>
                <w:color w:val="auto"/>
                <w:highlight w:val="none"/>
                <w:shd w:val="clear" w:color="auto" w:fill="auto"/>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rPr>
              <w:t>确定</w:t>
            </w:r>
            <w:r>
              <w:rPr>
                <w:rFonts w:hint="eastAsia"/>
                <w:color w:val="auto"/>
                <w:highlight w:val="none"/>
                <w:shd w:val="clear" w:color="auto" w:fill="auto"/>
                <w:lang w:val="en-US" w:eastAsia="zh-CN"/>
              </w:rPr>
              <w:t>环境和职业健康</w:t>
            </w:r>
            <w:r>
              <w:rPr>
                <w:rFonts w:hint="eastAsia"/>
                <w:color w:val="auto"/>
                <w:highlight w:val="none"/>
                <w:shd w:val="clear" w:color="auto" w:fill="auto"/>
              </w:rPr>
              <w:t>管理体系的范围</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4.3</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color w:val="auto"/>
                <w:highlight w:val="none"/>
                <w:shd w:val="clear" w:color="auto" w:fill="auto"/>
                <w:lang w:val="en-US"/>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管理手册第4.3章和</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“公司介绍”</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组织应明确相关管理体系的范围；</w:t>
            </w:r>
          </w:p>
          <w:tbl>
            <w:tblPr>
              <w:tblStyle w:val="7"/>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范围的项目</w:t>
                  </w:r>
                </w:p>
              </w:tc>
              <w:tc>
                <w:tcPr>
                  <w:tcW w:w="6963"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产品/服务的活动</w:t>
                  </w:r>
                </w:p>
              </w:tc>
              <w:tc>
                <w:tcPr>
                  <w:tcW w:w="6963" w:type="dxa"/>
                </w:tcPr>
                <w:p>
                  <w:pPr>
                    <w:rPr>
                      <w:color w:val="auto"/>
                      <w:sz w:val="20"/>
                      <w:highlight w:val="none"/>
                      <w:shd w:val="clear" w:color="auto" w:fill="auto"/>
                    </w:rPr>
                  </w:pPr>
                  <w:r>
                    <w:rPr>
                      <w:color w:val="auto"/>
                      <w:sz w:val="20"/>
                      <w:highlight w:val="none"/>
                      <w:shd w:val="clear" w:color="auto" w:fill="auto"/>
                    </w:rPr>
                    <w:t>E：系统集成服务，应用软件的开发服务，GER系列自动化控制设备的开发、生产、技术服务所涉及的相关</w:t>
                  </w:r>
                  <w:r>
                    <w:rPr>
                      <w:rFonts w:hint="eastAsia"/>
                      <w:color w:val="auto"/>
                      <w:sz w:val="20"/>
                      <w:highlight w:val="none"/>
                      <w:shd w:val="clear" w:color="auto" w:fill="auto"/>
                      <w:lang w:eastAsia="zh-CN"/>
                    </w:rPr>
                    <w:t>环境</w:t>
                  </w:r>
                  <w:r>
                    <w:rPr>
                      <w:color w:val="auto"/>
                      <w:sz w:val="20"/>
                      <w:highlight w:val="none"/>
                      <w:shd w:val="clear" w:color="auto" w:fill="auto"/>
                    </w:rPr>
                    <w:t>管理活动</w:t>
                  </w:r>
                </w:p>
                <w:p>
                  <w:pPr>
                    <w:rPr>
                      <w:rFonts w:hint="eastAsia"/>
                      <w:color w:val="auto"/>
                      <w:highlight w:val="none"/>
                      <w:shd w:val="clear" w:color="auto" w:fill="auto"/>
                      <w:vertAlign w:val="baseline"/>
                      <w:lang w:val="en-US" w:eastAsia="zh-CN"/>
                    </w:rPr>
                  </w:pPr>
                  <w:r>
                    <w:rPr>
                      <w:color w:val="auto"/>
                      <w:sz w:val="20"/>
                      <w:highlight w:val="none"/>
                      <w:shd w:val="clear" w:color="auto" w:fill="auto"/>
                    </w:rPr>
                    <w:t>O：系统集成服务，应用软件的开发服务，GER系列自动化控制设备的开发、生产、技术服务所涉及的相关职业健康安全管理活动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注册地址</w:t>
                  </w:r>
                </w:p>
              </w:tc>
              <w:tc>
                <w:tcPr>
                  <w:tcW w:w="6963" w:type="dxa"/>
                  <w:vAlign w:val="top"/>
                </w:tcPr>
                <w:p>
                  <w:pPr>
                    <w:rPr>
                      <w:rFonts w:hint="eastAsia" w:ascii="Times New Roman" w:hAnsi="Times New Roman" w:eastAsia="宋体" w:cs="Times New Roman"/>
                      <w:color w:val="auto"/>
                      <w:kern w:val="2"/>
                      <w:sz w:val="21"/>
                      <w:highlight w:val="none"/>
                      <w:shd w:val="clear" w:color="auto" w:fill="auto"/>
                      <w:lang w:val="en-US" w:eastAsia="zh-CN" w:bidi="ar-SA"/>
                    </w:rPr>
                  </w:pPr>
                  <w:r>
                    <w:rPr>
                      <w:rFonts w:asciiTheme="minorEastAsia" w:hAnsiTheme="minorEastAsia" w:eastAsiaTheme="minorEastAsia"/>
                      <w:color w:val="auto"/>
                      <w:sz w:val="20"/>
                      <w:highlight w:val="none"/>
                      <w:shd w:val="clear" w:color="auto" w:fill="auto"/>
                    </w:rPr>
                    <w:t>南京市江宁区福英路1001号联东U谷2号楼（江宁高新园）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经营地址</w:t>
                  </w:r>
                </w:p>
              </w:tc>
              <w:tc>
                <w:tcPr>
                  <w:tcW w:w="6963" w:type="dxa"/>
                  <w:vAlign w:val="top"/>
                </w:tcPr>
                <w:p>
                  <w:pPr>
                    <w:rPr>
                      <w:rFonts w:hint="eastAsia" w:ascii="Times New Roman" w:hAnsi="Times New Roman" w:eastAsia="宋体" w:cs="Times New Roman"/>
                      <w:color w:val="auto"/>
                      <w:kern w:val="2"/>
                      <w:sz w:val="21"/>
                      <w:highlight w:val="none"/>
                      <w:shd w:val="clear" w:color="auto" w:fill="auto"/>
                      <w:lang w:val="en-US" w:eastAsia="zh-CN" w:bidi="ar-SA"/>
                    </w:rPr>
                  </w:pPr>
                  <w:r>
                    <w:rPr>
                      <w:rFonts w:asciiTheme="minorEastAsia" w:hAnsiTheme="minorEastAsia" w:eastAsiaTheme="minorEastAsia"/>
                      <w:color w:val="auto"/>
                      <w:sz w:val="20"/>
                      <w:highlight w:val="none"/>
                      <w:shd w:val="clear" w:color="auto" w:fill="auto"/>
                    </w:rPr>
                    <w:t>南京市江宁区福英路1001号联东U谷2号楼（江宁高新园）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组织单元（部门/分支）</w:t>
                  </w:r>
                </w:p>
              </w:tc>
              <w:tc>
                <w:tcPr>
                  <w:tcW w:w="6963" w:type="dxa"/>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与组织结构图一致</w:t>
                  </w:r>
                </w:p>
                <w:p>
                  <w:pPr>
                    <w:rPr>
                      <w:rFonts w:hint="default"/>
                      <w:color w:val="auto"/>
                      <w:highlight w:val="none"/>
                      <w:u w:val="single"/>
                      <w:shd w:val="clear" w:color="auto" w:fill="auto"/>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分支机构，如： </w:t>
                  </w:r>
                  <w:r>
                    <w:rPr>
                      <w:rFonts w:hint="eastAsia"/>
                      <w:color w:val="auto"/>
                      <w:highlight w:val="none"/>
                      <w:u w:val="single"/>
                      <w:shd w:val="clear" w:color="auto" w:fill="auto"/>
                      <w:lang w:val="en-US" w:eastAsia="zh-CN"/>
                    </w:rPr>
                    <w:t xml:space="preserve">                  </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临时场所，如： </w:t>
                  </w:r>
                  <w:r>
                    <w:rPr>
                      <w:rFonts w:hint="eastAsia"/>
                      <w:color w:val="auto"/>
                      <w:highlight w:val="none"/>
                      <w:u w:val="singl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时间</w:t>
                  </w:r>
                </w:p>
              </w:tc>
              <w:tc>
                <w:tcPr>
                  <w:tcW w:w="6963" w:type="dxa"/>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 体系建立以来</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近一年</w:t>
                  </w:r>
                </w:p>
              </w:tc>
            </w:tr>
          </w:tbl>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p>
            <w:pPr>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t>在企业的管理手册中有描述。</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环境和职业健康</w:t>
            </w:r>
            <w:r>
              <w:rPr>
                <w:rFonts w:hint="eastAsia"/>
                <w:color w:val="auto"/>
                <w:highlight w:val="none"/>
                <w:shd w:val="clear" w:color="auto" w:fill="auto"/>
              </w:rPr>
              <w:t>管理体系</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 xml:space="preserve">4.4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管理手册第4.4章和</w:t>
            </w:r>
            <w:r>
              <w:rPr>
                <w:rFonts w:hint="eastAsia"/>
                <w:color w:val="auto"/>
                <w:highlight w:val="none"/>
                <w:shd w:val="clear" w:color="auto" w:fill="auto"/>
                <w:lang w:eastAsia="zh-CN"/>
              </w:rPr>
              <w:t>□</w:t>
            </w:r>
            <w:r>
              <w:rPr>
                <w:rFonts w:hint="eastAsia"/>
                <w:color w:val="auto"/>
                <w:highlight w:val="none"/>
                <w:shd w:val="clear" w:color="auto" w:fill="auto"/>
                <w:lang w:val="en-US" w:eastAsia="zh-CN"/>
              </w:rPr>
              <w:t>《过程清单》</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GB" w:eastAsia="zh-CN"/>
              </w:rPr>
            </w:pPr>
            <w:r>
              <w:rPr>
                <w:rFonts w:hint="eastAsia"/>
                <w:color w:val="auto"/>
                <w:highlight w:val="none"/>
                <w:shd w:val="clear" w:color="auto" w:fill="auto"/>
                <w:vertAlign w:val="baseline"/>
                <w:lang w:val="en-US" w:eastAsia="zh-CN"/>
              </w:rPr>
              <w:t>组织考虑了内外部问题和相关方期望对环境和职业健康管理体系的过程进行了确认，对输入、输出、</w:t>
            </w:r>
            <w:r>
              <w:rPr>
                <w:rFonts w:hint="eastAsia"/>
                <w:color w:val="auto"/>
                <w:highlight w:val="none"/>
                <w:shd w:val="clear" w:color="auto" w:fill="auto"/>
                <w:vertAlign w:val="baseline"/>
                <w:lang w:val="en-GB" w:eastAsia="zh-CN"/>
              </w:rPr>
              <w:t>顺序及相互</w:t>
            </w:r>
            <w:r>
              <w:rPr>
                <w:rFonts w:hint="eastAsia"/>
                <w:color w:val="auto"/>
                <w:highlight w:val="none"/>
                <w:shd w:val="clear" w:color="auto" w:fill="auto"/>
                <w:vertAlign w:val="baseline"/>
                <w:lang w:val="en-US" w:eastAsia="zh-CN"/>
              </w:rPr>
              <w:t>作用</w:t>
            </w:r>
            <w:r>
              <w:rPr>
                <w:rFonts w:hint="eastAsia"/>
                <w:color w:val="auto"/>
                <w:highlight w:val="none"/>
                <w:shd w:val="clear" w:color="auto" w:fill="auto"/>
                <w:vertAlign w:val="baseline"/>
                <w:lang w:val="en-GB" w:eastAsia="zh-CN"/>
              </w:rPr>
              <w:t>已被</w:t>
            </w:r>
            <w:r>
              <w:rPr>
                <w:rFonts w:hint="eastAsia"/>
                <w:color w:val="auto"/>
                <w:highlight w:val="none"/>
                <w:shd w:val="clear" w:color="auto" w:fill="auto"/>
                <w:vertAlign w:val="baseline"/>
                <w:lang w:val="en-US" w:eastAsia="zh-CN"/>
              </w:rPr>
              <w:t>明确</w:t>
            </w:r>
            <w:r>
              <w:rPr>
                <w:rFonts w:hint="eastAsia"/>
                <w:color w:val="auto"/>
                <w:highlight w:val="none"/>
                <w:shd w:val="clear" w:color="auto" w:fill="auto"/>
                <w:vertAlign w:val="baseline"/>
                <w:lang w:val="en-GB" w:eastAsia="zh-CN"/>
              </w:rPr>
              <w:t>地提出并被充分控制。</w:t>
            </w:r>
            <w:r>
              <w:rPr>
                <w:rFonts w:hint="eastAsia"/>
                <w:color w:val="auto"/>
                <w:highlight w:val="none"/>
                <w:shd w:val="clear" w:color="auto" w:fill="auto"/>
                <w:vertAlign w:val="baseline"/>
                <w:lang w:val="en-US" w:eastAsia="zh-CN"/>
              </w:rPr>
              <w:t>采用了过程方法管理相关管理体系及其过程；</w:t>
            </w:r>
            <w:r>
              <w:rPr>
                <w:rFonts w:hint="eastAsia"/>
                <w:color w:val="auto"/>
                <w:highlight w:val="none"/>
                <w:shd w:val="clear" w:color="auto" w:fill="auto"/>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color w:val="auto"/>
                <w:highlight w:val="none"/>
                <w:shd w:val="clear" w:color="auto" w:fill="auto"/>
                <w:vertAlign w:val="baseline"/>
                <w:lang w:val="en-US" w:eastAsia="zh-CN"/>
              </w:rPr>
            </w:pPr>
            <w:r>
              <w:rPr>
                <w:rFonts w:hint="eastAsia"/>
                <w:b/>
                <w:bCs/>
                <w:color w:val="auto"/>
                <w:highlight w:val="none"/>
                <w:shd w:val="clear" w:color="auto" w:fill="auto"/>
                <w:vertAlign w:val="baseline"/>
                <w:lang w:val="en-US" w:eastAsia="zh-CN"/>
              </w:rPr>
              <w:t>影响运行的重要</w:t>
            </w:r>
            <w:r>
              <w:rPr>
                <w:rFonts w:hint="eastAsia"/>
                <w:b/>
                <w:bCs/>
                <w:color w:val="auto"/>
                <w:highlight w:val="none"/>
                <w:shd w:val="clear" w:color="auto" w:fill="auto"/>
                <w:vertAlign w:val="baseline"/>
                <w:lang w:val="en-GB" w:eastAsia="zh-CN"/>
              </w:rPr>
              <w:t>过程如下</w:t>
            </w:r>
            <w:r>
              <w:rPr>
                <w:rFonts w:hint="eastAsia"/>
                <w:b/>
                <w:bCs/>
                <w:color w:val="auto"/>
                <w:highlight w:val="none"/>
                <w:shd w:val="clear" w:color="auto" w:fill="auto"/>
                <w:vertAlign w:val="baseline"/>
                <w:lang w:val="en-US" w:eastAsia="zh-CN"/>
              </w:rPr>
              <w:t>:</w:t>
            </w:r>
            <w:r>
              <w:rPr>
                <w:rFonts w:hint="eastAsia"/>
                <w:b/>
                <w:bCs/>
                <w:color w:val="auto"/>
                <w:highlight w:val="none"/>
                <w:shd w:val="clear" w:color="auto" w:fill="auto"/>
                <w:vertAlign w:val="baseline"/>
                <w:lang w:val="en-GB" w:eastAsia="zh-CN"/>
              </w:rPr>
              <w:t xml:space="preserve"> （</w:t>
            </w:r>
            <w:r>
              <w:rPr>
                <w:rFonts w:hint="eastAsia"/>
                <w:b/>
                <w:bCs/>
                <w:color w:val="auto"/>
                <w:highlight w:val="none"/>
                <w:shd w:val="clear" w:color="auto" w:fill="auto"/>
                <w:vertAlign w:val="baseline"/>
                <w:lang w:val="en-US" w:eastAsia="zh-CN"/>
              </w:rPr>
              <w:t>不必全选</w:t>
            </w:r>
            <w:r>
              <w:rPr>
                <w:rFonts w:hint="eastAsia"/>
                <w:b/>
                <w:bCs/>
                <w:color w:val="auto"/>
                <w:highlight w:val="none"/>
                <w:shd w:val="clear" w:color="auto" w:fill="auto"/>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消防安全控制</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 xml:space="preserve">污染物排放控制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人员能力管理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危化品管理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特种设备管理 </w:t>
            </w:r>
            <w:r>
              <w:rPr>
                <w:rFonts w:hint="eastAsia"/>
                <w:color w:val="auto"/>
                <w:highlight w:val="none"/>
                <w:shd w:val="clear" w:color="auto" w:fill="auto"/>
              </w:rPr>
              <w:t>□</w:t>
            </w:r>
            <w:r>
              <w:rPr>
                <w:rFonts w:hint="eastAsia"/>
                <w:color w:val="auto"/>
                <w:highlight w:val="none"/>
                <w:shd w:val="clear" w:color="auto" w:fill="auto"/>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放射线探伤</w:t>
            </w:r>
            <w:r>
              <w:rPr>
                <w:rFonts w:hint="eastAsia"/>
                <w:color w:val="auto"/>
                <w:highlight w:val="none"/>
                <w:shd w:val="clear" w:color="auto" w:fill="auto"/>
                <w:lang w:eastAsia="zh-CN"/>
              </w:rPr>
              <w:t>☑</w:t>
            </w:r>
            <w:r>
              <w:rPr>
                <w:rFonts w:hint="eastAsia"/>
                <w:color w:val="auto"/>
                <w:highlight w:val="none"/>
                <w:shd w:val="clear" w:color="auto" w:fill="auto"/>
                <w:lang w:val="en-US" w:eastAsia="zh-CN"/>
              </w:rPr>
              <w:t>消防安全控制</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用电安全控制</w:t>
            </w:r>
          </w:p>
          <w:p>
            <w:pPr>
              <w:keepNext w:val="0"/>
              <w:keepLines w:val="0"/>
              <w:suppressLineNumbers w:val="0"/>
              <w:spacing w:before="40" w:beforeAutospacing="0" w:after="40" w:afterAutospacing="0" w:line="240" w:lineRule="auto"/>
              <w:ind w:left="0" w:right="0"/>
              <w:rPr>
                <w:rFonts w:hint="eastAsia"/>
                <w:b/>
                <w:bCs/>
                <w:color w:val="auto"/>
                <w:highlight w:val="none"/>
                <w:shd w:val="clear" w:color="auto" w:fill="auto"/>
                <w:vertAlign w:val="baseline"/>
                <w:lang w:val="en-US" w:eastAsia="zh-CN"/>
              </w:rPr>
            </w:pPr>
            <w:r>
              <w:rPr>
                <w:rFonts w:hint="eastAsia"/>
                <w:b/>
                <w:bCs/>
                <w:color w:val="auto"/>
                <w:highlight w:val="none"/>
                <w:shd w:val="clear" w:color="auto" w:fill="auto"/>
                <w:vertAlign w:val="baseline"/>
                <w:lang w:val="en-US" w:eastAsia="zh-CN"/>
              </w:rPr>
              <w:t>影响体系运行的外包</w:t>
            </w:r>
            <w:r>
              <w:rPr>
                <w:rFonts w:hint="eastAsia"/>
                <w:b/>
                <w:bCs/>
                <w:color w:val="auto"/>
                <w:highlight w:val="none"/>
                <w:shd w:val="clear" w:color="auto" w:fill="auto"/>
                <w:vertAlign w:val="baseline"/>
                <w:lang w:val="en-GB" w:eastAsia="zh-CN"/>
              </w:rPr>
              <w:t>过程如下</w:t>
            </w:r>
            <w:r>
              <w:rPr>
                <w:rFonts w:hint="eastAsia"/>
                <w:b/>
                <w:bCs/>
                <w:color w:val="auto"/>
                <w:highlight w:val="none"/>
                <w:shd w:val="clear" w:color="auto" w:fill="auto"/>
                <w:vertAlign w:val="baseline"/>
                <w:lang w:val="en-US" w:eastAsia="zh-CN"/>
              </w:rPr>
              <w:t>:</w:t>
            </w:r>
            <w:r>
              <w:rPr>
                <w:rFonts w:hint="eastAsia"/>
                <w:b/>
                <w:bCs/>
                <w:color w:val="auto"/>
                <w:highlight w:val="none"/>
                <w:shd w:val="clear" w:color="auto" w:fill="auto"/>
                <w:vertAlign w:val="baseline"/>
                <w:lang w:val="en-GB" w:eastAsia="zh-CN"/>
              </w:rPr>
              <w:t xml:space="preserve"> （</w:t>
            </w:r>
            <w:r>
              <w:rPr>
                <w:rFonts w:hint="eastAsia"/>
                <w:b/>
                <w:bCs/>
                <w:color w:val="auto"/>
                <w:highlight w:val="none"/>
                <w:shd w:val="clear" w:color="auto" w:fill="auto"/>
                <w:vertAlign w:val="baseline"/>
                <w:lang w:val="en-US" w:eastAsia="zh-CN"/>
              </w:rPr>
              <w:t>根据实际情况选择</w:t>
            </w:r>
            <w:r>
              <w:rPr>
                <w:rFonts w:hint="eastAsia"/>
                <w:b/>
                <w:bCs/>
                <w:color w:val="auto"/>
                <w:highlight w:val="none"/>
                <w:shd w:val="clear" w:color="auto" w:fill="auto"/>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rPr>
              <w:t>□</w:t>
            </w:r>
            <w:r>
              <w:rPr>
                <w:rFonts w:hint="eastAsia"/>
                <w:color w:val="auto"/>
                <w:highlight w:val="none"/>
                <w:shd w:val="clear" w:color="auto" w:fill="auto"/>
                <w:lang w:val="en-US" w:eastAsia="zh-CN"/>
              </w:rPr>
              <w:t>建筑施工</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危化品贮存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 xml:space="preserve">XXX加工过程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放射线探伤</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sym w:font="Wingdings 2" w:char="0052"/>
            </w:r>
            <w:r>
              <w:rPr>
                <w:rFonts w:hint="eastAsia"/>
                <w:color w:val="auto"/>
                <w:highlight w:val="none"/>
                <w:shd w:val="clear" w:color="auto" w:fill="auto"/>
                <w:lang w:val="en-US" w:eastAsia="zh-CN"/>
              </w:rPr>
              <w:t>产品</w:t>
            </w:r>
            <w:r>
              <w:rPr>
                <w:rFonts w:hint="eastAsia"/>
                <w:color w:val="auto"/>
                <w:highlight w:val="none"/>
                <w:shd w:val="clear" w:color="auto" w:fill="auto"/>
                <w:vertAlign w:val="baseline"/>
                <w:lang w:val="en-US" w:eastAsia="zh-CN"/>
              </w:rPr>
              <w:t xml:space="preserve">运输 </w:t>
            </w:r>
            <w:r>
              <w:rPr>
                <w:rFonts w:hint="eastAsia"/>
                <w:color w:val="auto"/>
                <w:highlight w:val="none"/>
                <w:shd w:val="clear" w:color="auto" w:fill="auto"/>
              </w:rPr>
              <w:t>□</w:t>
            </w:r>
            <w:r>
              <w:rPr>
                <w:rFonts w:hint="eastAsia"/>
                <w:color w:val="auto"/>
                <w:highlight w:val="none"/>
                <w:shd w:val="clear" w:color="auto" w:fill="auto"/>
                <w:lang w:val="en-US" w:eastAsia="zh-CN"/>
              </w:rPr>
              <w:t>设备维修</w:t>
            </w:r>
          </w:p>
          <w:p>
            <w:pPr>
              <w:keepNext w:val="0"/>
              <w:keepLines w:val="0"/>
              <w:suppressLineNumbers w:val="0"/>
              <w:spacing w:before="40" w:beforeAutospacing="0" w:after="40" w:afterAutospacing="0" w:line="240" w:lineRule="auto"/>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人员培训 </w:t>
            </w:r>
            <w:r>
              <w:rPr>
                <w:rFonts w:hint="eastAsia"/>
                <w:color w:val="auto"/>
                <w:highlight w:val="none"/>
                <w:shd w:val="clear" w:color="auto" w:fill="auto"/>
              </w:rPr>
              <w:t>□</w:t>
            </w:r>
            <w:r>
              <w:rPr>
                <w:rFonts w:hint="eastAsia"/>
                <w:color w:val="auto"/>
                <w:highlight w:val="none"/>
                <w:shd w:val="clear" w:color="auto" w:fill="auto"/>
                <w:vertAlign w:val="baseline"/>
                <w:lang w:val="en-US" w:eastAsia="zh-CN"/>
              </w:rPr>
              <w:t>其他</w:t>
            </w:r>
          </w:p>
          <w:p>
            <w:pPr>
              <w:rPr>
                <w:rFonts w:hint="eastAsia"/>
                <w:color w:val="auto"/>
                <w:highlight w:val="none"/>
                <w:shd w:val="clear" w:color="auto" w:fill="auto"/>
              </w:rPr>
            </w:pPr>
            <w:r>
              <w:rPr>
                <w:rFonts w:hint="eastAsia"/>
                <w:color w:val="auto"/>
                <w:highlight w:val="none"/>
                <w:shd w:val="clear" w:color="auto" w:fill="auto"/>
                <w:lang w:val="en-GB" w:eastAsia="zh-CN"/>
              </w:rPr>
              <w:t>组织通过</w:t>
            </w:r>
            <w:r>
              <w:rPr>
                <w:rFonts w:hint="eastAsia"/>
                <w:color w:val="auto"/>
                <w:highlight w:val="none"/>
                <w:shd w:val="clear" w:color="auto" w:fill="auto"/>
                <w:lang w:val="en-US" w:eastAsia="zh-CN"/>
              </w:rPr>
              <w:t>环境和职业健康</w:t>
            </w:r>
            <w:r>
              <w:rPr>
                <w:rFonts w:hint="eastAsia"/>
                <w:color w:val="auto"/>
                <w:highlight w:val="none"/>
                <w:shd w:val="clear" w:color="auto" w:fill="auto"/>
                <w:lang w:val="en-GB" w:eastAsia="zh-CN"/>
              </w:rPr>
              <w:t>目标的建立、实施、</w:t>
            </w:r>
            <w:r>
              <w:rPr>
                <w:rFonts w:hint="eastAsia"/>
                <w:color w:val="auto"/>
                <w:highlight w:val="none"/>
                <w:shd w:val="clear" w:color="auto" w:fill="auto"/>
                <w:lang w:val="en-US" w:eastAsia="zh-CN"/>
              </w:rPr>
              <w:t>相关方反馈</w:t>
            </w:r>
            <w:r>
              <w:rPr>
                <w:rFonts w:hint="eastAsia"/>
                <w:color w:val="auto"/>
                <w:highlight w:val="none"/>
                <w:shd w:val="clear" w:color="auto" w:fill="auto"/>
                <w:lang w:val="en-GB" w:eastAsia="zh-CN"/>
              </w:rPr>
              <w:t>的</w:t>
            </w:r>
            <w:r>
              <w:rPr>
                <w:rFonts w:hint="eastAsia"/>
                <w:color w:val="auto"/>
                <w:highlight w:val="none"/>
                <w:shd w:val="clear" w:color="auto" w:fill="auto"/>
                <w:lang w:val="en-US" w:eastAsia="zh-CN"/>
              </w:rPr>
              <w:t>分析</w:t>
            </w:r>
            <w:r>
              <w:rPr>
                <w:rFonts w:hint="eastAsia"/>
                <w:color w:val="auto"/>
                <w:highlight w:val="none"/>
                <w:shd w:val="clear" w:color="auto" w:fill="auto"/>
                <w:lang w:val="en-GB" w:eastAsia="zh-CN"/>
              </w:rPr>
              <w:t>、内审和管理评审等方式，充分地</w:t>
            </w:r>
            <w:r>
              <w:rPr>
                <w:rFonts w:hint="eastAsia"/>
                <w:color w:val="auto"/>
                <w:highlight w:val="none"/>
                <w:shd w:val="clear" w:color="auto" w:fill="auto"/>
                <w:lang w:val="en-US" w:eastAsia="zh-CN"/>
              </w:rPr>
              <w:t>评审，管理及</w:t>
            </w:r>
            <w:r>
              <w:rPr>
                <w:rFonts w:hint="eastAsia"/>
                <w:color w:val="auto"/>
                <w:highlight w:val="none"/>
                <w:shd w:val="clear" w:color="auto" w:fill="auto"/>
                <w:lang w:val="en-GB" w:eastAsia="zh-CN"/>
              </w:rPr>
              <w:t>控制这些</w:t>
            </w:r>
            <w:r>
              <w:rPr>
                <w:rFonts w:hint="eastAsia"/>
                <w:color w:val="auto"/>
                <w:highlight w:val="none"/>
                <w:shd w:val="clear" w:color="auto" w:fill="auto"/>
                <w:lang w:val="en-US" w:eastAsia="zh-CN"/>
              </w:rPr>
              <w:t>环境和职业健康管理体系覆盖的过程</w:t>
            </w:r>
            <w:r>
              <w:rPr>
                <w:rFonts w:hint="eastAsia"/>
                <w:color w:val="auto"/>
                <w:highlight w:val="none"/>
                <w:shd w:val="clear" w:color="auto" w:fill="auto"/>
                <w:lang w:val="en-GB" w:eastAsia="zh-CN"/>
              </w:rPr>
              <w:t>和活动</w:t>
            </w:r>
            <w:r>
              <w:rPr>
                <w:rFonts w:hint="eastAsia"/>
                <w:color w:val="auto"/>
                <w:highlight w:val="none"/>
                <w:shd w:val="clear" w:color="auto" w:fill="auto"/>
                <w:lang w:val="en-US" w:eastAsia="zh-CN"/>
              </w:rPr>
              <w:t>。</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rPr>
              <w:t>领导作用与承诺</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5.1  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如：管理手册第5.1章和“总经理岗位职责”</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 与最高管理者沟通其领导作用与承诺：</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对环境和职业健康管理体系的有效性负责；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确保建立环境和职业健康方针和环境和职业健康目标，并与组织的战略方向和所处的环境和职业健康相一致；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确保将环境和职业健康管理体系要求融入组织的业务过程；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促进使用过程方法和基于风险的思维；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确保可获得环境和职业健康管理体系所需的资源； </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就有效的环境和职业健康管理的重要性和符合质量管理体系要求的重要性绩效沟通；</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确保环境和职业健康管理体系实现其预期结果；</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指导并支持员对环境和职业健康管理体系的有效性做出贡献；</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促进推动改进；</w:t>
            </w:r>
          </w:p>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支持其他相关管理人员在其职责范围内证实其领导作用。</w:t>
            </w:r>
          </w:p>
          <w:p>
            <w:pPr>
              <w:rPr>
                <w:rFonts w:hint="eastAsia"/>
                <w:b/>
                <w:bCs/>
                <w:color w:val="auto"/>
                <w:szCs w:val="21"/>
                <w:highlight w:val="none"/>
                <w:shd w:val="clear" w:color="auto" w:fill="auto"/>
                <w:lang w:val="en-US" w:eastAsia="zh-CN"/>
              </w:rPr>
            </w:pPr>
          </w:p>
          <w:p>
            <w:pPr>
              <w:rPr>
                <w:rFonts w:hint="default"/>
                <w:color w:val="auto"/>
                <w:szCs w:val="21"/>
                <w:highlight w:val="none"/>
                <w:shd w:val="clear" w:color="auto" w:fill="auto"/>
                <w:lang w:val="en-US" w:eastAsia="zh-CN"/>
              </w:rPr>
            </w:pPr>
            <w:r>
              <w:rPr>
                <w:rFonts w:hint="eastAsia"/>
                <w:color w:val="auto"/>
                <w:szCs w:val="21"/>
                <w:highlight w:val="none"/>
                <w:shd w:val="clear" w:color="auto" w:fill="auto"/>
                <w:lang w:val="en-US" w:eastAsia="zh-CN"/>
              </w:rPr>
              <w:sym w:font="Wingdings" w:char="00FE"/>
            </w:r>
            <w:r>
              <w:rPr>
                <w:rFonts w:hint="eastAsia"/>
                <w:color w:val="auto"/>
                <w:szCs w:val="21"/>
                <w:highlight w:val="none"/>
                <w:shd w:val="clear" w:color="auto" w:fill="auto"/>
                <w:lang w:val="en-US" w:eastAsia="zh-CN"/>
              </w:rPr>
              <w:t xml:space="preserve"> 覆盖了标准第5.1章的全面要求，</w:t>
            </w:r>
            <w:r>
              <w:rPr>
                <w:rFonts w:hint="eastAsia"/>
                <w:color w:val="auto"/>
                <w:szCs w:val="21"/>
                <w:highlight w:val="none"/>
                <w:shd w:val="clear" w:color="auto" w:fill="auto"/>
                <w:lang w:val="en-US" w:eastAsia="zh-CN"/>
              </w:rPr>
              <w:sym w:font="Wingdings" w:char="00A8"/>
            </w:r>
            <w:r>
              <w:rPr>
                <w:rFonts w:hint="eastAsia"/>
                <w:color w:val="auto"/>
                <w:szCs w:val="21"/>
                <w:highlight w:val="none"/>
                <w:shd w:val="clear" w:color="auto" w:fill="auto"/>
                <w:lang w:val="en-US" w:eastAsia="zh-CN"/>
              </w:rPr>
              <w:t xml:space="preserve"> 未覆盖标准第5.1章的全面要求，缺少：</w:t>
            </w:r>
            <w:r>
              <w:rPr>
                <w:rFonts w:hint="eastAsia"/>
                <w:color w:val="auto"/>
                <w:szCs w:val="21"/>
                <w:highlight w:val="none"/>
                <w:u w:val="single"/>
                <w:shd w:val="clear" w:color="auto" w:fill="auto"/>
                <w:lang w:val="en-US" w:eastAsia="zh-CN"/>
              </w:rPr>
              <w:t xml:space="preserve">         </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环境和职业健康</w:t>
            </w:r>
            <w:r>
              <w:rPr>
                <w:rFonts w:hint="eastAsia"/>
                <w:color w:val="auto"/>
                <w:highlight w:val="none"/>
                <w:shd w:val="clear" w:color="auto" w:fill="auto"/>
              </w:rPr>
              <w:t>方针</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w:t>
            </w:r>
            <w:r>
              <w:rPr>
                <w:rFonts w:hint="eastAsia"/>
                <w:color w:val="auto"/>
                <w:highlight w:val="none"/>
                <w:shd w:val="clear" w:color="auto" w:fill="auto"/>
              </w:rPr>
              <w:t>5.2  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如：管理手册第5.2章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szCs w:val="21"/>
                <w:highlight w:val="none"/>
                <w:shd w:val="clear" w:color="auto" w:fill="auto"/>
                <w:lang w:val="en-US" w:eastAsia="zh-CN"/>
              </w:rPr>
              <w:t xml:space="preserve"> </w:t>
            </w:r>
            <w:r>
              <w:rPr>
                <w:rFonts w:hint="eastAsia"/>
                <w:color w:val="auto"/>
                <w:highlight w:val="none"/>
                <w:shd w:val="clear" w:color="auto" w:fill="auto"/>
                <w:vertAlign w:val="baseline"/>
              </w:rPr>
              <w:t>最高管理者制定</w:t>
            </w:r>
            <w:r>
              <w:rPr>
                <w:rFonts w:hint="eastAsia"/>
                <w:color w:val="auto"/>
                <w:highlight w:val="none"/>
                <w:shd w:val="clear" w:color="auto" w:fill="auto"/>
                <w:vertAlign w:val="baseline"/>
                <w:lang w:val="en-US" w:eastAsia="zh-CN"/>
              </w:rPr>
              <w:t>了文件化的环境和职业健康体系</w:t>
            </w:r>
            <w:r>
              <w:rPr>
                <w:rFonts w:hint="eastAsia"/>
                <w:color w:val="auto"/>
                <w:highlight w:val="none"/>
                <w:shd w:val="clear" w:color="auto" w:fill="auto"/>
                <w:vertAlign w:val="baseline"/>
              </w:rPr>
              <w:t>方针</w:t>
            </w:r>
            <w:r>
              <w:rPr>
                <w:rFonts w:hint="eastAsia"/>
                <w:color w:val="auto"/>
                <w:highlight w:val="none"/>
                <w:shd w:val="clear" w:color="auto" w:fill="auto"/>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szCs w:val="18"/>
                <w:highlight w:val="none"/>
                <w:u w:val="single"/>
                <w:shd w:val="clear" w:color="auto" w:fill="auto"/>
                <w:lang w:val="en-US" w:eastAsia="zh-CN"/>
              </w:rPr>
            </w:pPr>
            <w:r>
              <w:rPr>
                <w:rFonts w:hint="eastAsia"/>
                <w:color w:val="auto"/>
                <w:szCs w:val="18"/>
                <w:highlight w:val="none"/>
                <w:u w:val="single"/>
                <w:shd w:val="clear" w:color="auto" w:fill="auto"/>
                <w:lang w:val="en-US" w:eastAsia="zh-CN"/>
              </w:rPr>
              <w:t>环境管理体系：节能治废，预防污染，教育全员，持续发展；</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u w:val="single"/>
                <w:shd w:val="clear" w:color="auto" w:fill="auto"/>
                <w:vertAlign w:val="baseline"/>
                <w:lang w:val="en-US" w:eastAsia="zh-CN"/>
              </w:rPr>
            </w:pPr>
            <w:r>
              <w:rPr>
                <w:rFonts w:hint="eastAsia"/>
                <w:color w:val="auto"/>
                <w:szCs w:val="18"/>
                <w:highlight w:val="none"/>
                <w:u w:val="single"/>
                <w:shd w:val="clear" w:color="auto" w:fill="auto"/>
                <w:lang w:val="en-US" w:eastAsia="zh-CN"/>
              </w:rPr>
              <w:t>职业健康管理体系：</w:t>
            </w:r>
            <w:r>
              <w:rPr>
                <w:rFonts w:hint="eastAsia"/>
                <w:color w:val="auto"/>
                <w:szCs w:val="18"/>
                <w:highlight w:val="none"/>
                <w:u w:val="single"/>
                <w:shd w:val="clear" w:color="auto" w:fill="auto"/>
              </w:rPr>
              <w:t>消除隐患、降低风险；预防为主、安全健康；遵纪守法，持续发展</w:t>
            </w:r>
            <w:r>
              <w:rPr>
                <w:rFonts w:hint="eastAsia"/>
                <w:color w:val="auto"/>
                <w:szCs w:val="22"/>
                <w:highlight w:val="none"/>
                <w:u w:val="single"/>
                <w:shd w:val="clear" w:color="auto" w:fill="auto"/>
                <w:vertAlign w:val="baseline"/>
                <w:lang w:val="en-US" w:eastAsia="zh-CN"/>
              </w:rPr>
              <w:t xml:space="preserve">          </w:t>
            </w:r>
            <w:r>
              <w:rPr>
                <w:rFonts w:hint="eastAsia"/>
                <w:color w:val="auto"/>
                <w:highlight w:val="none"/>
                <w:u w:val="single"/>
                <w:shd w:val="clear" w:color="auto" w:fill="auto"/>
                <w:vertAlign w:val="baseline"/>
                <w:lang w:val="en-US" w:eastAsia="zh-CN"/>
              </w:rPr>
              <w:t xml:space="preserve">                                             </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color w:val="auto"/>
                <w:spacing w:val="0"/>
                <w:w w:val="100"/>
                <w:position w:val="0"/>
                <w:highlight w:val="none"/>
                <w:shd w:val="clear" w:color="auto" w:fill="auto"/>
              </w:rPr>
              <w:t>适合于组织的宗旨和所处的</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lang w:val="zh-CN" w:eastAsia="zh-CN" w:bidi="zh-CN"/>
              </w:rPr>
              <w:t>.包括</w:t>
            </w:r>
            <w:r>
              <w:rPr>
                <w:color w:val="auto"/>
                <w:spacing w:val="0"/>
                <w:w w:val="100"/>
                <w:position w:val="0"/>
                <w:highlight w:val="none"/>
                <w:shd w:val="clear" w:color="auto" w:fill="auto"/>
              </w:rPr>
              <w:t>其活动、产品和服务的性质、规模和</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影响</w:t>
            </w:r>
          </w:p>
          <w:p>
            <w:pPr>
              <w:rPr>
                <w:rFonts w:hint="eastAsia"/>
                <w:color w:val="auto"/>
                <w:highlight w:val="none"/>
                <w:shd w:val="clear" w:color="auto" w:fill="auto"/>
                <w:vertAlign w:val="baseline"/>
                <w:lang w:val="en-GB" w:eastAsia="zh-CN"/>
              </w:rPr>
            </w:pPr>
            <w:r>
              <w:rPr>
                <w:rFonts w:hint="eastAsia"/>
                <w:color w:val="auto"/>
                <w:highlight w:val="none"/>
                <w:shd w:val="clear" w:color="auto" w:fill="auto"/>
                <w:lang w:eastAsia="zh-CN"/>
              </w:rPr>
              <w:t>☑</w:t>
            </w:r>
            <w:r>
              <w:rPr>
                <w:color w:val="auto"/>
                <w:spacing w:val="0"/>
                <w:w w:val="100"/>
                <w:position w:val="0"/>
                <w:highlight w:val="none"/>
                <w:shd w:val="clear" w:color="auto" w:fill="auto"/>
              </w:rPr>
              <w:t>为制定</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目标提供框架</w:t>
            </w:r>
            <w:r>
              <w:rPr>
                <w:rFonts w:hint="eastAsia"/>
                <w:color w:val="auto"/>
                <w:highlight w:val="none"/>
                <w:shd w:val="clear" w:color="auto" w:fill="auto"/>
                <w:vertAlign w:val="baseline"/>
                <w:lang w:val="en-GB" w:eastAsia="zh-CN"/>
              </w:rPr>
              <w:t>。</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color w:val="auto"/>
                <w:spacing w:val="0"/>
                <w:w w:val="100"/>
                <w:position w:val="0"/>
                <w:highlight w:val="none"/>
                <w:shd w:val="clear" w:color="auto" w:fill="auto"/>
              </w:rPr>
              <w:t>包括保护</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的承诺，其中包含污染预防及其他与组织所处</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有关的特定承诺</w:t>
            </w:r>
            <w:r>
              <w:rPr>
                <w:rFonts w:hint="eastAsia"/>
                <w:color w:val="auto"/>
                <w:highlight w:val="none"/>
                <w:shd w:val="clear" w:color="auto" w:fill="auto"/>
                <w:vertAlign w:val="baseline"/>
                <w:lang w:val="en-US" w:eastAsia="zh-CN"/>
              </w:rPr>
              <w:t xml:space="preserve">； </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包括持续改进环境和职业健康管理体系的承诺</w:t>
            </w:r>
          </w:p>
          <w:p>
            <w:pPr>
              <w:rPr>
                <w:color w:val="auto"/>
                <w:spacing w:val="0"/>
                <w:w w:val="100"/>
                <w:position w:val="0"/>
                <w:highlight w:val="none"/>
                <w:shd w:val="clear" w:color="auto" w:fill="auto"/>
              </w:rPr>
            </w:pPr>
            <w:r>
              <w:rPr>
                <w:rFonts w:hint="eastAsia"/>
                <w:color w:val="auto"/>
                <w:highlight w:val="none"/>
                <w:shd w:val="clear" w:color="auto" w:fill="auto"/>
                <w:lang w:eastAsia="zh-CN"/>
              </w:rPr>
              <w:t>☑</w:t>
            </w:r>
            <w:r>
              <w:rPr>
                <w:color w:val="auto"/>
                <w:spacing w:val="0"/>
                <w:w w:val="100"/>
                <w:position w:val="0"/>
                <w:highlight w:val="none"/>
                <w:shd w:val="clear" w:color="auto" w:fill="auto"/>
              </w:rPr>
              <w:t>包括履行其合规义务的承诺</w:t>
            </w:r>
          </w:p>
          <w:p>
            <w:pPr>
              <w:rPr>
                <w:color w:val="auto"/>
                <w:spacing w:val="0"/>
                <w:w w:val="100"/>
                <w:position w:val="0"/>
                <w:highlight w:val="none"/>
                <w:shd w:val="clear" w:color="auto" w:fill="auto"/>
              </w:rPr>
            </w:pPr>
            <w:r>
              <w:rPr>
                <w:rFonts w:hint="eastAsia"/>
                <w:color w:val="auto"/>
                <w:highlight w:val="none"/>
                <w:shd w:val="clear" w:color="auto" w:fill="auto"/>
                <w:lang w:eastAsia="zh-CN"/>
              </w:rPr>
              <w:t>☑</w:t>
            </w:r>
            <w:r>
              <w:rPr>
                <w:color w:val="auto"/>
                <w:spacing w:val="0"/>
                <w:w w:val="100"/>
                <w:position w:val="0"/>
                <w:highlight w:val="none"/>
                <w:shd w:val="clear" w:color="auto" w:fill="auto"/>
              </w:rPr>
              <w:t>包括持续改进</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管理体系以提升</w:t>
            </w:r>
            <w:r>
              <w:rPr>
                <w:rFonts w:hint="eastAsia"/>
                <w:color w:val="auto"/>
                <w:spacing w:val="0"/>
                <w:w w:val="100"/>
                <w:position w:val="0"/>
                <w:highlight w:val="none"/>
                <w:shd w:val="clear" w:color="auto" w:fill="auto"/>
                <w:lang w:eastAsia="zh-CN"/>
              </w:rPr>
              <w:t>环境和职业健康</w:t>
            </w:r>
            <w:r>
              <w:rPr>
                <w:color w:val="auto"/>
                <w:spacing w:val="0"/>
                <w:w w:val="100"/>
                <w:position w:val="0"/>
                <w:highlight w:val="none"/>
                <w:shd w:val="clear" w:color="auto" w:fill="auto"/>
              </w:rPr>
              <w:t>绩效的</w:t>
            </w:r>
            <w:r>
              <w:rPr>
                <w:color w:val="auto"/>
                <w:spacing w:val="0"/>
                <w:w w:val="100"/>
                <w:position w:val="0"/>
                <w:highlight w:val="none"/>
                <w:shd w:val="clear" w:color="auto" w:fill="auto"/>
                <w:lang w:val="zh-CN" w:eastAsia="zh-CN" w:bidi="zh-CN"/>
              </w:rPr>
              <w:t>承诺</w:t>
            </w:r>
          </w:p>
          <w:p>
            <w:pPr>
              <w:rPr>
                <w:rFonts w:hint="eastAsia"/>
                <w:color w:val="auto"/>
                <w:highlight w:val="none"/>
                <w:shd w:val="clear" w:color="auto" w:fill="auto"/>
                <w:lang w:eastAsia="zh-CN"/>
              </w:rPr>
            </w:pP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在组织内得到沟通、理解和应用，通过：</w:t>
            </w: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展板</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标语</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会议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文件发放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r>
              <w:rPr>
                <w:rFonts w:hint="eastAsia"/>
                <w:color w:val="auto"/>
                <w:highlight w:val="none"/>
                <w:shd w:val="clear" w:color="auto" w:fill="auto"/>
                <w:vertAlign w:val="baseline"/>
                <w:lang w:val="en-US" w:eastAsia="zh-CN"/>
              </w:rPr>
              <w:t xml:space="preserve">  </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在相关方有需要时提供。通过：</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网站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宣传册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vertAlign w:val="baseline"/>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color w:val="auto"/>
                <w:highlight w:val="none"/>
                <w:shd w:val="clear" w:color="auto" w:fill="auto"/>
              </w:rPr>
            </w:pPr>
            <w:r>
              <w:rPr>
                <w:rFonts w:hint="eastAsia"/>
                <w:color w:val="auto"/>
                <w:highlight w:val="none"/>
                <w:shd w:val="clear" w:color="auto" w:fill="auto"/>
              </w:rPr>
              <w:t>组织的</w:t>
            </w:r>
            <w:r>
              <w:rPr>
                <w:rFonts w:hint="eastAsia"/>
                <w:color w:val="auto"/>
                <w:highlight w:val="none"/>
                <w:shd w:val="clear" w:color="auto" w:fill="auto"/>
                <w:lang w:val="en-US" w:eastAsia="zh-CN"/>
              </w:rPr>
              <w:t>角色</w:t>
            </w:r>
            <w:r>
              <w:rPr>
                <w:rFonts w:hint="eastAsia"/>
                <w:color w:val="auto"/>
                <w:highlight w:val="none"/>
                <w:shd w:val="clear" w:color="auto" w:fill="auto"/>
              </w:rPr>
              <w:t>、职责和权限</w:t>
            </w:r>
          </w:p>
          <w:p>
            <w:pPr>
              <w:rPr>
                <w:color w:val="auto"/>
                <w:highlight w:val="none"/>
                <w:shd w:val="clear" w:color="auto" w:fill="auto"/>
              </w:rPr>
            </w:pP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5.3  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管理手册第5.3章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eastAsia="zh-CN"/>
              </w:rPr>
            </w:pPr>
            <w:r>
              <w:rPr>
                <w:rFonts w:hint="eastAsia"/>
                <w:color w:val="auto"/>
                <w:highlight w:val="none"/>
                <w:shd w:val="clear" w:color="auto" w:fill="auto"/>
                <w:vertAlign w:val="baseline"/>
              </w:rPr>
              <w:t>最高管理者确</w:t>
            </w:r>
            <w:r>
              <w:rPr>
                <w:rFonts w:hint="eastAsia"/>
                <w:color w:val="auto"/>
                <w:highlight w:val="none"/>
                <w:shd w:val="clear" w:color="auto" w:fill="auto"/>
                <w:vertAlign w:val="baseline"/>
                <w:lang w:val="en-US" w:eastAsia="zh-CN"/>
              </w:rPr>
              <w:t>定了</w:t>
            </w:r>
            <w:r>
              <w:rPr>
                <w:rFonts w:hint="eastAsia"/>
                <w:color w:val="auto"/>
                <w:highlight w:val="none"/>
                <w:shd w:val="clear" w:color="auto" w:fill="auto"/>
                <w:vertAlign w:val="baseline"/>
              </w:rPr>
              <w:t>组织</w:t>
            </w:r>
            <w:r>
              <w:rPr>
                <w:rFonts w:hint="eastAsia"/>
                <w:color w:val="auto"/>
                <w:highlight w:val="none"/>
                <w:shd w:val="clear" w:color="auto" w:fill="auto"/>
                <w:vertAlign w:val="baseline"/>
                <w:lang w:val="en-US" w:eastAsia="zh-CN"/>
              </w:rPr>
              <w:t>架构及</w:t>
            </w:r>
            <w:r>
              <w:rPr>
                <w:rFonts w:hint="eastAsia"/>
                <w:color w:val="auto"/>
                <w:highlight w:val="none"/>
                <w:shd w:val="clear" w:color="auto" w:fill="auto"/>
                <w:vertAlign w:val="baseline"/>
              </w:rPr>
              <w:t>相关岗位的职责、权限</w:t>
            </w:r>
            <w:r>
              <w:rPr>
                <w:rFonts w:hint="eastAsia"/>
                <w:color w:val="auto"/>
                <w:highlight w:val="none"/>
                <w:shd w:val="clear" w:color="auto" w:fill="auto"/>
                <w:vertAlign w:val="baseline"/>
                <w:lang w:eastAsia="zh-CN"/>
              </w:rPr>
              <w:t>，</w:t>
            </w:r>
            <w:r>
              <w:rPr>
                <w:rFonts w:hint="eastAsia"/>
                <w:color w:val="auto"/>
                <w:highlight w:val="none"/>
                <w:shd w:val="clear" w:color="auto" w:fill="auto"/>
                <w:vertAlign w:val="baseline"/>
                <w:lang w:val="en-US" w:eastAsia="zh-CN"/>
              </w:rPr>
              <w:t>并进行了全员的</w:t>
            </w:r>
            <w:r>
              <w:rPr>
                <w:rFonts w:hint="eastAsia"/>
                <w:color w:val="auto"/>
                <w:highlight w:val="none"/>
                <w:shd w:val="clear" w:color="auto" w:fill="auto"/>
                <w:vertAlign w:val="baseline"/>
              </w:rPr>
              <w:t>沟通和理解</w:t>
            </w:r>
            <w:r>
              <w:rPr>
                <w:rFonts w:hint="eastAsia"/>
                <w:color w:val="auto"/>
                <w:highlight w:val="none"/>
                <w:shd w:val="clear" w:color="auto" w:fill="auto"/>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环境和职业健康管理体系策划和推动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技术开发部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s="Times New Roman"/>
                      <w:color w:val="auto"/>
                      <w:kern w:val="2"/>
                      <w:sz w:val="21"/>
                      <w:highlight w:val="none"/>
                      <w:shd w:val="clear" w:color="auto" w:fill="auto"/>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生产工程部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质量管理部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p>
              </w:tc>
            </w:tr>
          </w:tbl>
          <w:p>
            <w:pPr>
              <w:rPr>
                <w:rFonts w:hint="eastAsia"/>
                <w:color w:val="auto"/>
                <w:highlight w:val="none"/>
                <w:shd w:val="clear" w:color="auto" w:fill="auto"/>
              </w:rPr>
            </w:pPr>
          </w:p>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向最高管理者汇报，</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管理者代表：</w:t>
            </w:r>
            <w:r>
              <w:rPr>
                <w:rFonts w:hint="eastAsia"/>
                <w:color w:val="auto"/>
                <w:highlight w:val="none"/>
                <w:u w:val="single"/>
                <w:shd w:val="clear" w:color="auto" w:fill="auto"/>
                <w:lang w:val="en-US" w:eastAsia="zh-CN"/>
              </w:rPr>
              <w:t xml:space="preserve"> 张小民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各部门</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2154" w:type="dxa"/>
            <w:vMerge w:val="restart"/>
            <w:shd w:val="clear" w:color="auto" w:fill="auto"/>
          </w:tcPr>
          <w:p>
            <w:pPr>
              <w:rPr>
                <w:color w:val="auto"/>
                <w:highlight w:val="none"/>
                <w:shd w:val="clear" w:color="auto" w:fill="auto"/>
              </w:rPr>
            </w:pPr>
            <w:bookmarkStart w:id="1" w:name="_Toc17985666"/>
            <w:r>
              <w:rPr>
                <w:rFonts w:hint="eastAsia" w:ascii="Arial" w:hAnsi="Arial"/>
                <w:color w:val="auto"/>
                <w:highlight w:val="none"/>
                <w:shd w:val="clear" w:color="auto" w:fill="auto"/>
              </w:rPr>
              <w:t>工作人员的协商和参与</w:t>
            </w:r>
            <w:bookmarkEnd w:id="1"/>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O5.4</w:t>
            </w:r>
            <w:r>
              <w:rPr>
                <w:rFonts w:hint="eastAsia"/>
                <w:color w:val="auto"/>
                <w:highlight w:val="none"/>
                <w:shd w:val="clear" w:color="auto" w:fill="auto"/>
              </w:rPr>
              <w:t>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管理手册第5.4章、《</w:t>
            </w:r>
            <w:r>
              <w:rPr>
                <w:rFonts w:hint="eastAsia" w:ascii="Arial" w:hAnsi="Arial"/>
                <w:color w:val="auto"/>
                <w:highlight w:val="none"/>
                <w:shd w:val="clear" w:color="auto" w:fill="auto"/>
              </w:rPr>
              <w:t>协商和参与</w:t>
            </w:r>
            <w:r>
              <w:rPr>
                <w:rFonts w:hint="eastAsia" w:ascii="Arial" w:hAnsi="Arial"/>
                <w:color w:val="auto"/>
                <w:highlight w:val="none"/>
                <w:shd w:val="clear" w:color="auto" w:fill="auto"/>
                <w:lang w:val="en-US" w:eastAsia="zh-CN"/>
              </w:rPr>
              <w:t>控制程序</w:t>
            </w:r>
            <w:r>
              <w:rPr>
                <w:rFonts w:hint="eastAsia"/>
                <w:color w:val="auto"/>
                <w:highlight w:val="none"/>
                <w:shd w:val="clear" w:color="auto" w:fill="auto"/>
                <w:lang w:val="en-US" w:eastAsia="zh-CN"/>
              </w:rPr>
              <w:t>》</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90"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ind w:firstLine="420"/>
              <w:rPr>
                <w:rFonts w:hint="eastAsia"/>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员工代表：</w:t>
            </w:r>
            <w:r>
              <w:rPr>
                <w:rFonts w:hint="eastAsia"/>
                <w:color w:val="auto"/>
                <w:highlight w:val="none"/>
                <w:u w:val="single"/>
                <w:shd w:val="clear" w:color="auto" w:fill="auto"/>
                <w:lang w:val="en-US" w:eastAsia="zh-CN"/>
              </w:rPr>
              <w:t xml:space="preserve">   吴亮   </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共</w:t>
            </w:r>
            <w:r>
              <w:rPr>
                <w:rFonts w:hint="eastAsia"/>
                <w:color w:val="auto"/>
                <w:highlight w:val="none"/>
                <w:u w:val="single"/>
                <w:shd w:val="clear" w:color="auto" w:fill="auto"/>
                <w:lang w:val="en-US" w:eastAsia="zh-CN"/>
              </w:rPr>
              <w:t xml:space="preserve">  2  </w:t>
            </w:r>
            <w:r>
              <w:rPr>
                <w:rFonts w:hint="eastAsia"/>
                <w:color w:val="auto"/>
                <w:highlight w:val="none"/>
                <w:shd w:val="clear" w:color="auto" w:fill="auto"/>
                <w:lang w:val="en-US" w:eastAsia="zh-CN"/>
              </w:rPr>
              <w:t>名</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34"/>
              <w:gridCol w:w="1135"/>
              <w:gridCol w:w="1560"/>
              <w:gridCol w:w="1464"/>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协商参与机制</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协商时间</w:t>
                  </w:r>
                </w:p>
              </w:tc>
              <w:tc>
                <w:tcPr>
                  <w:tcW w:w="1560"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培训</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选举</w:t>
                  </w:r>
                  <w:r>
                    <w:rPr>
                      <w:rFonts w:hint="eastAsia" w:cs="Times New Roman"/>
                      <w:color w:val="auto"/>
                      <w:kern w:val="2"/>
                      <w:sz w:val="21"/>
                      <w:highlight w:val="none"/>
                      <w:shd w:val="clear" w:color="auto" w:fill="auto"/>
                      <w:vertAlign w:val="baseline"/>
                      <w:lang w:val="en-US" w:eastAsia="zh-CN" w:bidi="ar-SA"/>
                    </w:rPr>
                    <w:t>工作人员代表</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每两年</w:t>
                  </w:r>
                </w:p>
              </w:tc>
              <w:tc>
                <w:tcPr>
                  <w:tcW w:w="1560"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每年一次</w:t>
                  </w:r>
                </w:p>
              </w:tc>
              <w:tc>
                <w:tcPr>
                  <w:tcW w:w="146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合理化建议</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随时</w:t>
                  </w:r>
                </w:p>
              </w:tc>
              <w:tc>
                <w:tcPr>
                  <w:tcW w:w="156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按照公司安排</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重大变化</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发生前</w:t>
                  </w:r>
                </w:p>
              </w:tc>
              <w:tc>
                <w:tcPr>
                  <w:tcW w:w="156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按照公司安排</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工伤事件</w:t>
                  </w:r>
                </w:p>
              </w:tc>
              <w:tc>
                <w:tcPr>
                  <w:tcW w:w="1135"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调查时</w:t>
                  </w:r>
                </w:p>
              </w:tc>
              <w:tc>
                <w:tcPr>
                  <w:tcW w:w="156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按照公司安排</w:t>
                  </w:r>
                </w:p>
              </w:tc>
              <w:tc>
                <w:tcPr>
                  <w:tcW w:w="146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面谈、微信、</w:t>
                  </w:r>
                </w:p>
              </w:tc>
            </w:tr>
          </w:tbl>
          <w:p>
            <w:pPr>
              <w:rPr>
                <w:rFonts w:hint="eastAsia"/>
                <w:color w:val="auto"/>
                <w:highlight w:val="none"/>
                <w:shd w:val="clear" w:color="auto" w:fill="auto"/>
              </w:rPr>
            </w:pPr>
          </w:p>
          <w:p>
            <w:pPr>
              <w:rPr>
                <w:rFonts w:hint="eastAsia"/>
                <w:color w:val="auto"/>
                <w:highlight w:val="none"/>
                <w:shd w:val="clear" w:color="auto" w:fill="auto"/>
              </w:rPr>
            </w:pPr>
            <w:r>
              <w:rPr>
                <w:rFonts w:hint="eastAsia"/>
                <w:color w:val="auto"/>
                <w:highlight w:val="none"/>
                <w:shd w:val="clear" w:color="auto" w:fill="auto"/>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协商的内容</w:t>
                  </w:r>
                </w:p>
              </w:tc>
              <w:tc>
                <w:tcPr>
                  <w:tcW w:w="2105"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协商的时机</w:t>
                  </w:r>
                </w:p>
              </w:tc>
              <w:tc>
                <w:tcPr>
                  <w:tcW w:w="268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确定相关方的需求和期望</w:t>
                  </w:r>
                </w:p>
              </w:tc>
              <w:tc>
                <w:tcPr>
                  <w:tcW w:w="2105"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tcPr>
                <w:p>
                  <w:pPr>
                    <w:rPr>
                      <w:rFonts w:hint="default"/>
                      <w:color w:val="auto"/>
                      <w:highlight w:val="none"/>
                      <w:shd w:val="clear" w:color="auto" w:fill="auto"/>
                      <w:vertAlign w:val="baseline"/>
                      <w:lang w:val="en-US"/>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建立职业健康安全方针</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分配组织的角色、职责和权限</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确定如何满足法律法规要求和其他要求</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制定职业健康安全目标并为其实现进行策划</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确定对外包、采购和承包方的适用控制</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确定所需监视、测量和评价的内容</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策划、建立、实施和保持审核方案</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确保持续改进</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bl>
          <w:p>
            <w:pPr>
              <w:rPr>
                <w:rFonts w:hint="eastAsia"/>
                <w:color w:val="auto"/>
                <w:highlight w:val="none"/>
                <w:shd w:val="clear" w:color="auto" w:fill="auto"/>
              </w:rPr>
            </w:pPr>
          </w:p>
          <w:p>
            <w:pPr>
              <w:rPr>
                <w:rFonts w:hint="eastAsia"/>
                <w:color w:val="auto"/>
                <w:highlight w:val="none"/>
                <w:shd w:val="clear" w:color="auto" w:fill="auto"/>
              </w:rPr>
            </w:pPr>
            <w:r>
              <w:rPr>
                <w:rFonts w:hint="eastAsia"/>
                <w:color w:val="auto"/>
                <w:highlight w:val="none"/>
                <w:shd w:val="clear" w:color="auto" w:fill="auto"/>
              </w:rPr>
              <w:t>与非管理类工作人员在如下方面的</w:t>
            </w:r>
            <w:r>
              <w:rPr>
                <w:rFonts w:hint="eastAsia"/>
                <w:color w:val="auto"/>
                <w:highlight w:val="none"/>
                <w:shd w:val="clear" w:color="auto" w:fill="auto"/>
                <w:lang w:val="en-US" w:eastAsia="zh-CN"/>
              </w:rPr>
              <w:t>参与</w:t>
            </w:r>
            <w:r>
              <w:rPr>
                <w:rFonts w:hint="eastAsia"/>
                <w:color w:val="auto"/>
                <w:highlight w:val="none"/>
                <w:shd w:val="clear" w:color="auto" w:fill="auto"/>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参与的内容</w:t>
                  </w:r>
                </w:p>
              </w:tc>
              <w:tc>
                <w:tcPr>
                  <w:tcW w:w="2105"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参与的时机</w:t>
                  </w:r>
                </w:p>
              </w:tc>
              <w:tc>
                <w:tcPr>
                  <w:tcW w:w="2689"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确定其协商和参与的机制</w:t>
                  </w:r>
                </w:p>
              </w:tc>
              <w:tc>
                <w:tcPr>
                  <w:tcW w:w="2105"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tcPr>
                <w:p>
                  <w:pPr>
                    <w:rPr>
                      <w:rFonts w:hint="default"/>
                      <w:color w:val="auto"/>
                      <w:highlight w:val="none"/>
                      <w:shd w:val="clear" w:color="auto" w:fill="auto"/>
                      <w:vertAlign w:val="baseline"/>
                      <w:lang w:val="en-US"/>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辨识危险源并评价风险和机遇</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确定消除危险源和降低职业健康安全风险的措施</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确定能力要求、培训需求、培训和培训效果评价</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确定沟通的内容和方式</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确定控制措施及其有效的实施和应用</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shd w:val="clear" w:color="auto" w:fill="auto"/>
                      <w:vertAlign w:val="baseline"/>
                    </w:rPr>
                  </w:pPr>
                  <w:r>
                    <w:rPr>
                      <w:rFonts w:hint="eastAsia"/>
                      <w:color w:val="auto"/>
                      <w:highlight w:val="none"/>
                      <w:shd w:val="clear" w:color="auto" w:fill="auto"/>
                    </w:rPr>
                    <w:t>调查事件和不符合并确定纠正措施</w:t>
                  </w:r>
                </w:p>
              </w:tc>
              <w:tc>
                <w:tcPr>
                  <w:tcW w:w="2105"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建立体系时</w:t>
                  </w:r>
                </w:p>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已实施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未实施</w:t>
                  </w:r>
                </w:p>
              </w:tc>
            </w:tr>
          </w:tbl>
          <w:p>
            <w:pPr>
              <w:rPr>
                <w:rFonts w:hint="default" w:eastAsia="宋体"/>
                <w:color w:val="auto"/>
                <w:highlight w:val="none"/>
                <w:shd w:val="clear" w:color="auto" w:fill="auto"/>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应对风险和机遇的措施</w:t>
            </w:r>
          </w:p>
          <w:p>
            <w:pPr>
              <w:rPr>
                <w:color w:val="auto"/>
                <w:highlight w:val="none"/>
                <w:shd w:val="clear" w:color="auto" w:fill="auto"/>
              </w:rPr>
            </w:pPr>
          </w:p>
        </w:tc>
        <w:tc>
          <w:tcPr>
            <w:tcW w:w="960" w:type="dxa"/>
            <w:vMerge w:val="restart"/>
            <w:shd w:val="clear" w:color="auto" w:fill="auto"/>
          </w:tcPr>
          <w:p>
            <w:pPr>
              <w:rPr>
                <w:color w:val="auto"/>
                <w:highlight w:val="none"/>
                <w:shd w:val="clear" w:color="auto" w:fill="auto"/>
              </w:rPr>
            </w:pPr>
            <w:r>
              <w:rPr>
                <w:rFonts w:hint="eastAsia"/>
                <w:color w:val="auto"/>
                <w:szCs w:val="21"/>
                <w:highlight w:val="none"/>
                <w:shd w:val="clear" w:color="auto" w:fill="auto"/>
                <w:lang w:val="en-US" w:eastAsia="zh-CN"/>
              </w:rPr>
              <w:t>EO6.1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w:t>
            </w:r>
            <w:r>
              <w:rPr>
                <w:rFonts w:hint="eastAsia"/>
                <w:color w:val="auto"/>
                <w:szCs w:val="21"/>
                <w:highlight w:val="none"/>
                <w:shd w:val="clear" w:color="auto" w:fill="auto"/>
                <w:lang w:val="en-US" w:eastAsia="zh-CN"/>
              </w:rPr>
              <w:t>风险和机遇</w:t>
            </w:r>
            <w:r>
              <w:rPr>
                <w:rFonts w:hint="eastAsia"/>
                <w:color w:val="auto"/>
                <w:highlight w:val="none"/>
                <w:shd w:val="clear" w:color="auto" w:fill="auto"/>
              </w:rPr>
              <w:t>控制</w:t>
            </w:r>
            <w:r>
              <w:rPr>
                <w:rFonts w:hint="eastAsia"/>
                <w:color w:val="auto"/>
                <w:highlight w:val="none"/>
                <w:shd w:val="clear" w:color="auto" w:fill="auto"/>
                <w:lang w:val="en-US" w:eastAsia="zh-CN"/>
              </w:rPr>
              <w:t>程序》、</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手册第6.1条款</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01"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分析风险的方法：</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头脑风暴法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FMEA（潜在失效模式分析）</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default"/>
                <w:color w:val="auto"/>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应对风险的措施类型包括： </w:t>
            </w:r>
          </w:p>
          <w:p>
            <w:pPr>
              <w:rPr>
                <w:rFonts w:hint="default"/>
                <w:color w:val="auto"/>
                <w:highlight w:val="none"/>
                <w:shd w:val="clear" w:color="auto" w:fill="auto"/>
                <w:lang w:val="en-US"/>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规避风险</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为寻求机遇承担风险、</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消除风险源</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改变风险的可能性和后果、</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分担风险</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通过信息充分的决策而保留风险</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lang w:val="en-US" w:eastAsia="zh-CN"/>
              </w:rPr>
            </w:pPr>
          </w:p>
          <w:p>
            <w:pPr>
              <w:rPr>
                <w:rFonts w:hint="eastAsia"/>
                <w:color w:val="auto"/>
                <w:highlight w:val="none"/>
                <w:shd w:val="clear" w:color="auto" w:fill="auto"/>
              </w:rPr>
            </w:pPr>
            <w:r>
              <w:rPr>
                <w:rFonts w:hint="eastAsia"/>
                <w:color w:val="auto"/>
                <w:highlight w:val="none"/>
                <w:shd w:val="clear" w:color="auto" w:fill="auto"/>
                <w:lang w:val="en-US" w:eastAsia="zh-CN"/>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主要的风险描述</w:t>
                  </w:r>
                </w:p>
              </w:tc>
              <w:tc>
                <w:tcPr>
                  <w:tcW w:w="472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default"/>
                      <w:color w:val="auto"/>
                      <w:highlight w:val="none"/>
                      <w:shd w:val="clear" w:color="auto" w:fill="auto"/>
                      <w:vertAlign w:val="baseline"/>
                      <w:lang w:val="en-US" w:eastAsia="zh-CN"/>
                    </w:rPr>
                    <w:t>经济不景气，新冠疫情影响，同行业竞争较大</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优化公司产品</w:t>
                  </w:r>
                  <w:r>
                    <w:rPr>
                      <w:rFonts w:ascii="宋体" w:hAnsi="宋体" w:cs="宋体"/>
                      <w:color w:val="auto"/>
                      <w:szCs w:val="21"/>
                    </w:rPr>
                    <w:t>及</w:t>
                  </w:r>
                  <w:r>
                    <w:rPr>
                      <w:rFonts w:hint="eastAsia" w:ascii="宋体" w:hAnsi="宋体" w:cs="宋体"/>
                      <w:color w:val="auto"/>
                      <w:szCs w:val="21"/>
                    </w:rPr>
                    <w:t>服务、专业技术，以质优价廉的产品和优质的服务赢取市场</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ascii="宋体" w:hAnsi="宋体" w:cs="宋体"/>
                      <w:color w:val="auto"/>
                      <w:szCs w:val="21"/>
                    </w:rPr>
                    <w:t>回款周期</w:t>
                  </w:r>
                  <w:r>
                    <w:rPr>
                      <w:rFonts w:ascii="宋体" w:hAnsi="宋体" w:cs="宋体"/>
                      <w:color w:val="auto"/>
                      <w:szCs w:val="21"/>
                    </w:rPr>
                    <w:t>长</w:t>
                  </w:r>
                  <w:r>
                    <w:rPr>
                      <w:rFonts w:hint="eastAsia" w:ascii="宋体" w:hAnsi="宋体" w:cs="宋体"/>
                      <w:color w:val="auto"/>
                      <w:szCs w:val="21"/>
                    </w:rPr>
                    <w:t>，回款</w:t>
                  </w:r>
                  <w:r>
                    <w:rPr>
                      <w:rFonts w:ascii="宋体" w:hAnsi="宋体" w:cs="宋体"/>
                      <w:color w:val="auto"/>
                      <w:szCs w:val="21"/>
                    </w:rPr>
                    <w:t>流程复杂，客户群强势，</w:t>
                  </w:r>
                  <w:r>
                    <w:rPr>
                      <w:rFonts w:hint="eastAsia" w:ascii="宋体" w:hAnsi="宋体" w:cs="宋体"/>
                      <w:color w:val="auto"/>
                      <w:szCs w:val="21"/>
                    </w:rPr>
                    <w:t>有拖延情况</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提升服务质量，健全配套设施，遵守承诺，以优质的服务和好的技术质量，让客户满意，提高回款率</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s="Times New Roman"/>
                      <w:color w:val="auto"/>
                      <w:kern w:val="2"/>
                      <w:sz w:val="21"/>
                      <w:szCs w:val="24"/>
                      <w:highlight w:val="none"/>
                      <w:shd w:val="clear" w:color="auto" w:fill="auto"/>
                      <w:vertAlign w:val="baseline"/>
                      <w:lang w:val="en-US" w:eastAsia="zh-CN" w:bidi="ar-SA"/>
                    </w:rPr>
                    <w:t>火灾</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建筑消防检测、防雷防静电监测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bl>
          <w:p>
            <w:pPr>
              <w:rPr>
                <w:rFonts w:hint="default"/>
                <w:color w:val="auto"/>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应对机遇的措施类型包括： </w:t>
            </w:r>
          </w:p>
          <w:p>
            <w:pPr>
              <w:rPr>
                <w:rFonts w:hint="default"/>
                <w:color w:val="auto"/>
                <w:highlight w:val="none"/>
                <w:shd w:val="clear" w:color="auto" w:fill="auto"/>
                <w:lang w:val="en-US"/>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采用新实践</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推出新产品</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开辟新市场</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赢得新顾客</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rPr>
              <w:t>建立合作伙伴关系</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FE"/>
            </w:r>
            <w:r>
              <w:rPr>
                <w:rFonts w:hint="eastAsia"/>
                <w:color w:val="auto"/>
                <w:highlight w:val="none"/>
                <w:shd w:val="clear" w:color="auto" w:fill="auto"/>
              </w:rPr>
              <w:t>利用新技术</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其他</w:t>
            </w: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429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bookmarkStart w:id="2" w:name="_GoBack"/>
                  <w:r>
                    <w:rPr>
                      <w:rFonts w:hint="eastAsia"/>
                      <w:color w:val="auto"/>
                      <w:highlight w:val="none"/>
                      <w:shd w:val="clear" w:color="auto" w:fill="auto"/>
                      <w:vertAlign w:val="baseline"/>
                      <w:lang w:val="en-US" w:eastAsia="zh-CN"/>
                    </w:rPr>
                    <w:t>主要的机遇描述</w:t>
                  </w:r>
                </w:p>
              </w:tc>
              <w:tc>
                <w:tcPr>
                  <w:tcW w:w="429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办公活动产生的废硒鼓等，无其它危险废物</w:t>
                  </w:r>
                </w:p>
              </w:tc>
              <w:tc>
                <w:tcPr>
                  <w:tcW w:w="429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ascii="宋体" w:hAnsi="宋体" w:cs="宋体"/>
                      <w:color w:val="auto"/>
                      <w:szCs w:val="21"/>
                    </w:rPr>
                    <w:t>公司办公产生的危废集中收集，由供应商回收及置换</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top"/>
                </w:tcPr>
                <w:p>
                  <w:pPr>
                    <w:rPr>
                      <w:rFonts w:hint="eastAsia" w:ascii="Times New Roman" w:hAnsi="Times New Roman" w:eastAsia="宋体" w:cs="Times New Roman"/>
                      <w:color w:val="auto"/>
                      <w:kern w:val="2"/>
                      <w:sz w:val="21"/>
                      <w:szCs w:val="24"/>
                      <w:highlight w:val="none"/>
                      <w:shd w:val="clear" w:color="auto" w:fill="auto"/>
                      <w:lang w:val="en-US" w:eastAsia="zh-CN" w:bidi="ar-SA"/>
                    </w:rPr>
                  </w:pPr>
                  <w:r>
                    <w:rPr>
                      <w:rFonts w:hint="eastAsia" w:ascii="宋体" w:hAnsi="宋体" w:cs="宋体"/>
                      <w:color w:val="auto"/>
                      <w:szCs w:val="21"/>
                    </w:rPr>
                    <w:t>技术专业、经验丰富</w:t>
                  </w:r>
                </w:p>
              </w:tc>
              <w:tc>
                <w:tcPr>
                  <w:tcW w:w="4298" w:type="dxa"/>
                  <w:vAlign w:val="top"/>
                </w:tcPr>
                <w:p>
                  <w:pPr>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ascii="宋体" w:hAnsi="宋体" w:cs="宋体"/>
                      <w:color w:val="auto"/>
                      <w:szCs w:val="21"/>
                    </w:rPr>
                    <w:t>加强技术交流，加强</w:t>
                  </w:r>
                  <w:r>
                    <w:rPr>
                      <w:rFonts w:ascii="宋体" w:hAnsi="宋体" w:cs="宋体"/>
                      <w:color w:val="auto"/>
                      <w:szCs w:val="21"/>
                    </w:rPr>
                    <w:t>研发投入</w:t>
                  </w:r>
                  <w:r>
                    <w:rPr>
                      <w:rFonts w:hint="eastAsia" w:ascii="宋体" w:hAnsi="宋体" w:cs="宋体"/>
                      <w:color w:val="auto"/>
                      <w:szCs w:val="21"/>
                    </w:rPr>
                    <w:t>提高团队技术技能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bookmarkEnd w:id="2"/>
          </w:tbl>
          <w:p>
            <w:pPr>
              <w:rPr>
                <w:rFonts w:hint="eastAsia"/>
                <w:color w:val="auto"/>
                <w:highlight w:val="none"/>
                <w:shd w:val="clear" w:color="auto" w:fill="auto"/>
              </w:rPr>
            </w:pPr>
          </w:p>
          <w:p>
            <w:pPr>
              <w:rPr>
                <w:rFonts w:hint="default" w:eastAsia="宋体"/>
                <w:color w:val="auto"/>
                <w:highlight w:val="none"/>
                <w:shd w:val="clear" w:color="auto" w:fill="auto"/>
                <w:lang w:val="en-US" w:eastAsia="zh-CN"/>
              </w:rPr>
            </w:pPr>
            <w:r>
              <w:rPr>
                <w:rFonts w:hint="eastAsia"/>
                <w:color w:val="auto"/>
                <w:highlight w:val="none"/>
                <w:shd w:val="clear" w:color="auto" w:fill="auto"/>
                <w:lang w:eastAsia="zh-CN"/>
              </w:rPr>
              <w:t>组织环境和职业健康管理体系范围内的潜在紧急情况，</w:t>
            </w:r>
            <w:r>
              <w:rPr>
                <w:rFonts w:hint="eastAsia"/>
                <w:color w:val="auto"/>
                <w:highlight w:val="none"/>
                <w:shd w:val="clear" w:color="auto" w:fill="auto"/>
                <w:lang w:val="en-US" w:eastAsia="zh-CN"/>
              </w:rPr>
              <w:t>如</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lang w:val="en-US" w:eastAsia="zh-CN"/>
              </w:rPr>
              <w:sym w:font="Wingdings" w:char="00FE"/>
            </w:r>
            <w:r>
              <w:rPr>
                <w:rFonts w:hint="eastAsia"/>
                <w:color w:val="auto"/>
                <w:highlight w:val="none"/>
                <w:u w:val="single"/>
                <w:shd w:val="clear" w:color="auto" w:fill="auto"/>
                <w:lang w:val="en-US" w:eastAsia="zh-CN"/>
              </w:rPr>
              <w:t xml:space="preserve">法规未识别  </w:t>
            </w:r>
            <w:r>
              <w:rPr>
                <w:rFonts w:hint="eastAsia"/>
                <w:color w:val="auto"/>
                <w:highlight w:val="none"/>
                <w:u w:val="single"/>
                <w:shd w:val="clear" w:color="auto" w:fill="auto"/>
                <w:lang w:val="en-US" w:eastAsia="zh-CN"/>
              </w:rPr>
              <w:sym w:font="Wingdings" w:char="00FE"/>
            </w:r>
            <w:r>
              <w:rPr>
                <w:rFonts w:hint="eastAsia"/>
                <w:color w:val="auto"/>
                <w:highlight w:val="none"/>
                <w:u w:val="single"/>
                <w:shd w:val="clear" w:color="auto" w:fill="auto"/>
                <w:lang w:val="en-US" w:eastAsia="zh-CN"/>
              </w:rPr>
              <w:t xml:space="preserve">违规操作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其他                      </w:t>
            </w:r>
          </w:p>
          <w:p>
            <w:pPr>
              <w:rPr>
                <w:rFonts w:hint="eastAsia"/>
                <w:color w:val="auto"/>
                <w:highlight w:val="none"/>
                <w:shd w:val="clear" w:color="auto" w:fill="auto"/>
                <w:lang w:eastAsia="zh-CN"/>
              </w:rPr>
            </w:pPr>
          </w:p>
          <w:p>
            <w:pPr>
              <w:rPr>
                <w:rFonts w:hint="default" w:eastAsia="宋体"/>
                <w:color w:val="auto"/>
                <w:highlight w:val="none"/>
                <w:shd w:val="clear" w:color="auto" w:fill="auto"/>
                <w:lang w:val="en-US" w:eastAsia="zh-CN"/>
              </w:rPr>
            </w:pPr>
            <w:r>
              <w:rPr>
                <w:rFonts w:hint="eastAsia"/>
                <w:color w:val="auto"/>
                <w:highlight w:val="none"/>
                <w:shd w:val="clear" w:color="auto" w:fill="auto"/>
                <w:lang w:eastAsia="zh-CN"/>
              </w:rPr>
              <w:t>可能具有环境和职业健康影响的潜在紧急情况，</w:t>
            </w:r>
            <w:r>
              <w:rPr>
                <w:rFonts w:hint="eastAsia"/>
                <w:color w:val="auto"/>
                <w:highlight w:val="none"/>
                <w:shd w:val="clear" w:color="auto" w:fill="auto"/>
                <w:lang w:val="en-US" w:eastAsia="zh-CN"/>
              </w:rPr>
              <w:t>如</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lang w:val="en-US" w:eastAsia="zh-CN"/>
              </w:rPr>
              <w:sym w:font="Wingdings" w:char="00FE"/>
            </w:r>
            <w:r>
              <w:rPr>
                <w:rFonts w:hint="eastAsia"/>
                <w:color w:val="auto"/>
                <w:highlight w:val="none"/>
                <w:u w:val="single"/>
                <w:shd w:val="clear" w:color="auto" w:fill="auto"/>
                <w:lang w:val="en-US" w:eastAsia="zh-CN"/>
              </w:rPr>
              <w:t xml:space="preserve">火灾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危化品泄露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未达标排放  </w:t>
            </w:r>
            <w:r>
              <w:rPr>
                <w:rFonts w:hint="eastAsia"/>
                <w:color w:val="auto"/>
                <w:highlight w:val="none"/>
                <w:u w:val="single"/>
                <w:shd w:val="clear" w:color="auto" w:fill="auto"/>
                <w:lang w:val="en-US" w:eastAsia="zh-CN"/>
              </w:rPr>
              <w:sym w:font="Wingdings" w:char="00A8"/>
            </w:r>
            <w:r>
              <w:rPr>
                <w:rFonts w:hint="eastAsia"/>
                <w:color w:val="auto"/>
                <w:highlight w:val="none"/>
                <w:u w:val="single"/>
                <w:shd w:val="clear" w:color="auto" w:fill="auto"/>
                <w:lang w:val="en-US" w:eastAsia="zh-CN"/>
              </w:rPr>
              <w:t xml:space="preserve">锅炉爆炸                      </w:t>
            </w:r>
          </w:p>
          <w:p>
            <w:pPr>
              <w:rPr>
                <w:color w:val="auto"/>
                <w:highlight w:val="none"/>
                <w:shd w:val="clear" w:color="auto" w:fill="auto"/>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环境和职业健康目标</w:t>
            </w:r>
          </w:p>
          <w:p>
            <w:pPr>
              <w:rPr>
                <w:color w:val="auto"/>
                <w:highlight w:val="none"/>
                <w:shd w:val="clear" w:color="auto" w:fill="auto"/>
              </w:rPr>
            </w:pPr>
          </w:p>
        </w:tc>
        <w:tc>
          <w:tcPr>
            <w:tcW w:w="960" w:type="dxa"/>
            <w:vMerge w:val="restart"/>
            <w:shd w:val="clear" w:color="auto" w:fill="auto"/>
          </w:tcPr>
          <w:p>
            <w:pPr>
              <w:rPr>
                <w:color w:val="auto"/>
                <w:highlight w:val="none"/>
                <w:shd w:val="clear" w:color="auto" w:fill="auto"/>
              </w:rPr>
            </w:pPr>
            <w:r>
              <w:rPr>
                <w:rFonts w:hint="eastAsia"/>
                <w:color w:val="auto"/>
                <w:szCs w:val="21"/>
                <w:highlight w:val="none"/>
                <w:shd w:val="clear" w:color="auto" w:fill="auto"/>
                <w:lang w:val="en-US" w:eastAsia="zh-CN"/>
              </w:rPr>
              <w:t>EO6.2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vertAlign w:val="baseline"/>
                <w:lang w:val="en-US"/>
              </w:rPr>
              <w:sym w:font="Wingdings" w:char="00FE"/>
            </w:r>
            <w:r>
              <w:rPr>
                <w:rFonts w:hint="eastAsia"/>
                <w:color w:val="auto"/>
                <w:highlight w:val="none"/>
                <w:shd w:val="clear" w:color="auto" w:fill="auto"/>
                <w:lang w:val="en-US" w:eastAsia="zh-CN"/>
              </w:rPr>
              <w:t>手册第6.2条款、</w:t>
            </w:r>
            <w:r>
              <w:rPr>
                <w:rFonts w:hint="eastAsia"/>
                <w:color w:val="auto"/>
                <w:highlight w:val="none"/>
                <w:shd w:val="clear" w:color="auto" w:fill="auto"/>
                <w:vertAlign w:val="baseline"/>
                <w:lang w:val="en-US"/>
              </w:rPr>
              <w:sym w:font="Wingdings" w:char="00FE"/>
            </w:r>
            <w:r>
              <w:rPr>
                <w:rFonts w:hint="eastAsia"/>
                <w:color w:val="auto"/>
                <w:highlight w:val="none"/>
                <w:shd w:val="clear" w:color="auto" w:fill="auto"/>
                <w:lang w:val="en-US" w:eastAsia="zh-CN"/>
              </w:rPr>
              <w:t>《</w:t>
            </w:r>
            <w:r>
              <w:rPr>
                <w:rFonts w:hint="eastAsia"/>
                <w:color w:val="auto"/>
                <w:szCs w:val="21"/>
                <w:highlight w:val="none"/>
                <w:shd w:val="clear" w:color="auto" w:fill="auto"/>
                <w:lang w:val="en-US" w:eastAsia="zh-CN"/>
              </w:rPr>
              <w:t>EHS目标指标和管理方案一览表》</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eastAsia="zh-CN"/>
              </w:rPr>
            </w:pPr>
            <w:r>
              <w:rPr>
                <w:rFonts w:hint="eastAsia"/>
                <w:color w:val="auto"/>
                <w:highlight w:val="none"/>
                <w:shd w:val="clear" w:color="auto" w:fill="auto"/>
                <w:vertAlign w:val="baseline"/>
              </w:rPr>
              <w:t>组织建立</w:t>
            </w:r>
            <w:r>
              <w:rPr>
                <w:rFonts w:hint="eastAsia"/>
                <w:color w:val="auto"/>
                <w:highlight w:val="none"/>
                <w:shd w:val="clear" w:color="auto" w:fill="auto"/>
                <w:vertAlign w:val="baseline"/>
                <w:lang w:val="en-US" w:eastAsia="zh-CN"/>
              </w:rPr>
              <w:t>了与方针一致的文件化的管理</w:t>
            </w:r>
            <w:r>
              <w:rPr>
                <w:rFonts w:hint="eastAsia"/>
                <w:color w:val="auto"/>
                <w:highlight w:val="none"/>
                <w:shd w:val="clear" w:color="auto" w:fill="auto"/>
                <w:vertAlign w:val="baseline"/>
              </w:rPr>
              <w:t>目标。</w:t>
            </w:r>
            <w:r>
              <w:rPr>
                <w:rFonts w:hint="eastAsia"/>
                <w:color w:val="auto"/>
                <w:highlight w:val="none"/>
                <w:shd w:val="clear" w:color="auto" w:fill="auto"/>
                <w:vertAlign w:val="baseline"/>
                <w:lang w:eastAsia="zh-CN"/>
              </w:rPr>
              <w:t>为实现总</w:t>
            </w:r>
            <w:r>
              <w:rPr>
                <w:rFonts w:hint="eastAsia"/>
                <w:color w:val="auto"/>
                <w:highlight w:val="none"/>
                <w:shd w:val="clear" w:color="auto" w:fill="auto"/>
                <w:vertAlign w:val="baseline"/>
                <w:lang w:val="en-US" w:eastAsia="zh-CN"/>
              </w:rPr>
              <w:t>环境和职业健康</w:t>
            </w:r>
            <w:r>
              <w:rPr>
                <w:rFonts w:hint="eastAsia"/>
                <w:color w:val="auto"/>
                <w:highlight w:val="none"/>
                <w:shd w:val="clear" w:color="auto" w:fill="auto"/>
                <w:vertAlign w:val="baseline"/>
                <w:lang w:eastAsia="zh-CN"/>
              </w:rPr>
              <w:t>目标而建立的各层级</w:t>
            </w:r>
            <w:r>
              <w:rPr>
                <w:rFonts w:hint="eastAsia"/>
                <w:color w:val="auto"/>
                <w:highlight w:val="none"/>
                <w:shd w:val="clear" w:color="auto" w:fill="auto"/>
                <w:vertAlign w:val="baseline"/>
                <w:lang w:val="en-US" w:eastAsia="zh-CN"/>
              </w:rPr>
              <w:t>环境和职业健康</w:t>
            </w:r>
            <w:r>
              <w:rPr>
                <w:rFonts w:hint="eastAsia"/>
                <w:color w:val="auto"/>
                <w:highlight w:val="none"/>
                <w:shd w:val="clear" w:color="auto" w:fill="auto"/>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总</w:t>
            </w:r>
            <w:r>
              <w:rPr>
                <w:rFonts w:hint="eastAsia"/>
                <w:color w:val="auto"/>
                <w:highlight w:val="none"/>
                <w:shd w:val="clear" w:color="auto" w:fill="auto"/>
                <w:vertAlign w:val="baseline"/>
                <w:lang w:val="en-US" w:eastAsia="zh-CN"/>
              </w:rPr>
              <w:t>环境和职业健康</w:t>
            </w:r>
            <w:r>
              <w:rPr>
                <w:rFonts w:hint="eastAsia"/>
                <w:color w:val="auto"/>
                <w:highlight w:val="none"/>
                <w:shd w:val="clear" w:color="auto" w:fill="auto"/>
                <w:vertAlign w:val="baseline"/>
                <w:lang w:eastAsia="zh-CN"/>
              </w:rPr>
              <w:t>目标实现情况的评价，及其测量方法是：</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1121"/>
              <w:gridCol w:w="329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pct"/>
                  <w:vAlign w:val="center"/>
                </w:tcPr>
                <w:p>
                  <w:pPr>
                    <w:widowControl/>
                    <w:spacing w:before="40"/>
                    <w:jc w:val="center"/>
                    <w:rPr>
                      <w:color w:val="auto"/>
                      <w:szCs w:val="18"/>
                    </w:rPr>
                  </w:pPr>
                  <w:r>
                    <w:rPr>
                      <w:rFonts w:hint="eastAsia"/>
                      <w:color w:val="auto"/>
                      <w:szCs w:val="18"/>
                    </w:rPr>
                    <w:t>目标</w:t>
                  </w:r>
                </w:p>
              </w:tc>
              <w:tc>
                <w:tcPr>
                  <w:tcW w:w="620" w:type="pct"/>
                  <w:vAlign w:val="center"/>
                </w:tcPr>
                <w:p>
                  <w:pPr>
                    <w:widowControl/>
                    <w:spacing w:before="40"/>
                    <w:jc w:val="center"/>
                    <w:rPr>
                      <w:color w:val="auto"/>
                      <w:szCs w:val="18"/>
                    </w:rPr>
                  </w:pPr>
                  <w:r>
                    <w:rPr>
                      <w:rFonts w:hint="eastAsia"/>
                      <w:color w:val="auto"/>
                      <w:szCs w:val="18"/>
                    </w:rPr>
                    <w:t>考核频次</w:t>
                  </w:r>
                </w:p>
              </w:tc>
              <w:tc>
                <w:tcPr>
                  <w:tcW w:w="1824" w:type="pct"/>
                  <w:vAlign w:val="center"/>
                </w:tcPr>
                <w:p>
                  <w:pPr>
                    <w:widowControl/>
                    <w:spacing w:before="40"/>
                    <w:jc w:val="center"/>
                    <w:rPr>
                      <w:color w:val="auto"/>
                      <w:szCs w:val="18"/>
                    </w:rPr>
                  </w:pPr>
                  <w:r>
                    <w:rPr>
                      <w:rFonts w:hint="eastAsia"/>
                      <w:color w:val="auto"/>
                      <w:szCs w:val="18"/>
                    </w:rPr>
                    <w:t>计算方法</w:t>
                  </w:r>
                </w:p>
              </w:tc>
              <w:tc>
                <w:tcPr>
                  <w:tcW w:w="1045" w:type="pct"/>
                  <w:vAlign w:val="center"/>
                </w:tcPr>
                <w:p>
                  <w:pPr>
                    <w:widowControl/>
                    <w:spacing w:before="40"/>
                    <w:jc w:val="center"/>
                    <w:rPr>
                      <w:color w:val="auto"/>
                      <w:szCs w:val="18"/>
                    </w:rPr>
                  </w:pPr>
                  <w:r>
                    <w:rPr>
                      <w:rFonts w:hint="eastAsia"/>
                      <w:color w:val="auto"/>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top"/>
                </w:tcPr>
                <w:p>
                  <w:pPr>
                    <w:rPr>
                      <w:rFonts w:hint="eastAsia"/>
                      <w:color w:val="auto"/>
                      <w:szCs w:val="18"/>
                    </w:rPr>
                  </w:pPr>
                  <w:r>
                    <w:rPr>
                      <w:rFonts w:hint="eastAsia" w:ascii="宋体" w:hAnsi="宋体"/>
                      <w:color w:val="auto"/>
                      <w:szCs w:val="21"/>
                    </w:rPr>
                    <w:t>产品交验合格率达100％</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360" w:lineRule="exact"/>
                    <w:rPr>
                      <w:rFonts w:hint="eastAsia"/>
                      <w:color w:val="auto"/>
                      <w:szCs w:val="18"/>
                    </w:rPr>
                  </w:pPr>
                  <w:r>
                    <w:rPr>
                      <w:rFonts w:hint="eastAsia" w:ascii="微软雅黑" w:hAnsi="微软雅黑" w:eastAsia="微软雅黑" w:cs="微软雅黑"/>
                      <w:color w:val="auto"/>
                      <w:sz w:val="20"/>
                      <w:szCs w:val="20"/>
                    </w:rPr>
                    <w:t>已交付项目合格</w:t>
                  </w:r>
                  <w:r>
                    <w:rPr>
                      <w:rFonts w:ascii="微软雅黑" w:hAnsi="微软雅黑" w:eastAsia="微软雅黑" w:cs="微软雅黑"/>
                      <w:color w:val="auto"/>
                      <w:sz w:val="20"/>
                      <w:szCs w:val="20"/>
                    </w:rPr>
                    <w:t>数</w:t>
                  </w:r>
                  <w:r>
                    <w:rPr>
                      <w:rFonts w:hint="eastAsia" w:ascii="微软雅黑" w:hAnsi="微软雅黑" w:eastAsia="微软雅黑" w:cs="微软雅黑"/>
                      <w:color w:val="auto"/>
                      <w:sz w:val="20"/>
                      <w:szCs w:val="20"/>
                    </w:rPr>
                    <w:t>/已交付项目数*100%</w:t>
                  </w:r>
                </w:p>
              </w:tc>
              <w:tc>
                <w:tcPr>
                  <w:tcW w:w="1045" w:type="pct"/>
                  <w:vAlign w:val="center"/>
                </w:tcPr>
                <w:p>
                  <w:pPr>
                    <w:widowControl/>
                    <w:spacing w:before="4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top"/>
                </w:tcPr>
                <w:p>
                  <w:pPr>
                    <w:rPr>
                      <w:rFonts w:hint="eastAsia"/>
                      <w:color w:val="auto"/>
                      <w:szCs w:val="18"/>
                    </w:rPr>
                  </w:pPr>
                  <w:r>
                    <w:rPr>
                      <w:rFonts w:hint="eastAsia"/>
                      <w:color w:val="auto"/>
                      <w:szCs w:val="18"/>
                    </w:rPr>
                    <w:t>固废分类收集，合规处置率100%</w:t>
                  </w:r>
                </w:p>
              </w:tc>
              <w:tc>
                <w:tcPr>
                  <w:tcW w:w="620" w:type="pct"/>
                  <w:vAlign w:val="center"/>
                </w:tcPr>
                <w:p>
                  <w:pPr>
                    <w:widowControl/>
                    <w:spacing w:before="40"/>
                    <w:rPr>
                      <w:rFonts w:hint="eastAsia" w:eastAsia="宋体"/>
                      <w:color w:val="auto"/>
                      <w:szCs w:val="18"/>
                      <w:lang w:eastAsia="zh-CN"/>
                    </w:rPr>
                  </w:pPr>
                  <w:r>
                    <w:rPr>
                      <w:rFonts w:hint="eastAsia"/>
                      <w:color w:val="auto"/>
                      <w:szCs w:val="18"/>
                    </w:rPr>
                    <w:t>一次/</w:t>
                  </w:r>
                  <w:r>
                    <w:rPr>
                      <w:rFonts w:hint="eastAsia"/>
                      <w:color w:val="auto"/>
                      <w:szCs w:val="18"/>
                      <w:lang w:val="en-US" w:eastAsia="zh-CN"/>
                    </w:rPr>
                    <w:t>月</w:t>
                  </w:r>
                </w:p>
              </w:tc>
              <w:tc>
                <w:tcPr>
                  <w:tcW w:w="1824"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固体废弃物分类处置数/总固体废弃物数</w:t>
                  </w:r>
                </w:p>
              </w:tc>
              <w:tc>
                <w:tcPr>
                  <w:tcW w:w="1045" w:type="pct"/>
                  <w:vAlign w:val="center"/>
                </w:tcPr>
                <w:p>
                  <w:pPr>
                    <w:widowControl/>
                    <w:spacing w:before="4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全年火灾事故发生率为“0”。</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火灾事故发生次数</w:t>
                  </w:r>
                </w:p>
              </w:tc>
              <w:tc>
                <w:tcPr>
                  <w:tcW w:w="1045" w:type="pct"/>
                  <w:vAlign w:val="center"/>
                </w:tcPr>
                <w:p>
                  <w:pPr>
                    <w:widowControl/>
                    <w:spacing w:before="40"/>
                    <w:rPr>
                      <w:rFonts w:hint="eastAsia"/>
                      <w:color w:val="auto"/>
                      <w:szCs w:val="18"/>
                    </w:rPr>
                  </w:pPr>
                  <w:r>
                    <w:rPr>
                      <w:rFonts w:hint="eastAsia"/>
                      <w:color w:val="aut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全年触电伤害事故发生率为“0”。</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240" w:lineRule="exact"/>
                    <w:rPr>
                      <w:rFonts w:hint="eastAsia" w:eastAsia="宋体"/>
                      <w:color w:val="auto"/>
                      <w:szCs w:val="18"/>
                      <w:lang w:eastAsia="zh-CN"/>
                    </w:rPr>
                  </w:pPr>
                  <w:r>
                    <w:rPr>
                      <w:rFonts w:hint="eastAsia" w:ascii="微软雅黑" w:hAnsi="微软雅黑" w:eastAsia="微软雅黑" w:cs="微软雅黑"/>
                      <w:color w:val="auto"/>
                      <w:sz w:val="20"/>
                      <w:szCs w:val="20"/>
                    </w:rPr>
                    <w:t>触电事故发生次数</w:t>
                  </w:r>
                </w:p>
              </w:tc>
              <w:tc>
                <w:tcPr>
                  <w:tcW w:w="1045" w:type="pct"/>
                  <w:vAlign w:val="center"/>
                </w:tcPr>
                <w:p>
                  <w:pPr>
                    <w:widowControl/>
                    <w:spacing w:before="40"/>
                    <w:rPr>
                      <w:rFonts w:hint="eastAsia" w:eastAsia="宋体"/>
                      <w:color w:val="auto"/>
                      <w:szCs w:val="18"/>
                      <w:lang w:val="en-US" w:eastAsia="zh-CN"/>
                    </w:rPr>
                  </w:pPr>
                  <w:r>
                    <w:rPr>
                      <w:rFonts w:hint="eastAsia"/>
                      <w:color w:val="aut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重大安全事故的发生为零。</w:t>
                  </w:r>
                </w:p>
              </w:tc>
              <w:tc>
                <w:tcPr>
                  <w:tcW w:w="620" w:type="pct"/>
                  <w:vAlign w:val="center"/>
                </w:tcPr>
                <w:p>
                  <w:pPr>
                    <w:widowControl/>
                    <w:spacing w:before="40"/>
                    <w:rPr>
                      <w:rFonts w:hint="eastAsia"/>
                      <w:color w:val="auto"/>
                      <w:szCs w:val="18"/>
                    </w:rPr>
                  </w:pPr>
                  <w:r>
                    <w:rPr>
                      <w:rFonts w:hint="eastAsia"/>
                      <w:color w:val="auto"/>
                      <w:szCs w:val="18"/>
                    </w:rPr>
                    <w:t>一次/季度</w:t>
                  </w:r>
                </w:p>
              </w:tc>
              <w:tc>
                <w:tcPr>
                  <w:tcW w:w="1824" w:type="pct"/>
                  <w:vAlign w:val="center"/>
                </w:tcPr>
                <w:p>
                  <w:pPr>
                    <w:spacing w:line="240" w:lineRule="exact"/>
                    <w:rPr>
                      <w:rFonts w:hint="eastAsia"/>
                      <w:color w:val="auto"/>
                      <w:szCs w:val="18"/>
                    </w:rPr>
                  </w:pPr>
                  <w:r>
                    <w:rPr>
                      <w:rFonts w:hint="eastAsia" w:ascii="微软雅黑" w:hAnsi="微软雅黑" w:eastAsia="微软雅黑" w:cs="微软雅黑"/>
                      <w:color w:val="auto"/>
                      <w:sz w:val="20"/>
                      <w:szCs w:val="20"/>
                    </w:rPr>
                    <w:t>重大安全事故发生次数</w:t>
                  </w:r>
                </w:p>
              </w:tc>
              <w:tc>
                <w:tcPr>
                  <w:tcW w:w="1045" w:type="pct"/>
                  <w:vAlign w:val="center"/>
                </w:tcPr>
                <w:p>
                  <w:pPr>
                    <w:widowControl/>
                    <w:spacing w:before="40"/>
                    <w:rPr>
                      <w:rFonts w:hint="eastAsia" w:eastAsia="宋体"/>
                      <w:color w:val="auto"/>
                      <w:szCs w:val="18"/>
                      <w:lang w:eastAsia="zh-CN"/>
                    </w:rPr>
                  </w:pPr>
                  <w:r>
                    <w:rPr>
                      <w:rFonts w:hint="eastAsia"/>
                      <w:color w:val="auto"/>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rPr>
            </w:pPr>
            <w:r>
              <w:rPr>
                <w:rFonts w:hint="eastAsia"/>
                <w:color w:val="auto"/>
                <w:highlight w:val="none"/>
                <w:shd w:val="clear" w:color="auto" w:fill="auto"/>
                <w:vertAlign w:val="baseline"/>
                <w:lang w:val="en-US"/>
              </w:rPr>
              <w:sym w:font="Wingdings" w:char="00FE"/>
            </w:r>
            <w:r>
              <w:rPr>
                <w:rFonts w:hint="eastAsia"/>
                <w:color w:val="auto"/>
                <w:highlight w:val="none"/>
                <w:shd w:val="clear" w:color="auto" w:fill="auto"/>
                <w:vertAlign w:val="baseline"/>
                <w:lang w:val="en-US"/>
              </w:rPr>
              <w:t>目标</w:t>
            </w:r>
            <w:r>
              <w:rPr>
                <w:rFonts w:hint="eastAsia"/>
                <w:color w:val="auto"/>
                <w:highlight w:val="none"/>
                <w:shd w:val="clear" w:color="auto" w:fill="auto"/>
                <w:vertAlign w:val="baseline"/>
                <w:lang w:val="en-US" w:eastAsia="zh-CN"/>
              </w:rPr>
              <w:t>已</w:t>
            </w:r>
            <w:r>
              <w:rPr>
                <w:rFonts w:hint="eastAsia"/>
                <w:color w:val="auto"/>
                <w:highlight w:val="none"/>
                <w:shd w:val="clear" w:color="auto" w:fill="auto"/>
                <w:vertAlign w:val="baseline"/>
                <w:lang w:val="en-US"/>
              </w:rPr>
              <w:t>实现</w:t>
            </w:r>
          </w:p>
          <w:p>
            <w:pPr>
              <w:rPr>
                <w:color w:val="auto"/>
                <w:highlight w:val="none"/>
                <w:shd w:val="clear" w:color="auto" w:fill="auto"/>
              </w:rPr>
            </w:pPr>
            <w:r>
              <w:rPr>
                <w:rFonts w:hint="eastAsia"/>
                <w:color w:val="auto"/>
                <w:highlight w:val="none"/>
                <w:shd w:val="clear" w:color="auto" w:fill="auto"/>
                <w:vertAlign w:val="baseline"/>
                <w:lang w:val="en-US"/>
              </w:rPr>
              <w:sym w:font="Wingdings" w:char="00A8"/>
            </w:r>
            <w:r>
              <w:rPr>
                <w:rFonts w:hint="eastAsia"/>
                <w:color w:val="auto"/>
                <w:highlight w:val="none"/>
                <w:shd w:val="clear" w:color="auto" w:fill="auto"/>
                <w:vertAlign w:val="baseline"/>
                <w:lang w:val="en-US"/>
              </w:rPr>
              <w:t>目标没有实现的，组织在内部及时</w:t>
            </w:r>
            <w:r>
              <w:rPr>
                <w:rFonts w:hint="eastAsia"/>
                <w:color w:val="auto"/>
                <w:highlight w:val="none"/>
                <w:shd w:val="clear" w:color="auto" w:fill="auto"/>
                <w:vertAlign w:val="baseline"/>
                <w:lang w:val="en-US" w:eastAsia="zh-CN"/>
              </w:rPr>
              <w:t>进行原因分析</w:t>
            </w:r>
            <w:r>
              <w:rPr>
                <w:rFonts w:hint="eastAsia"/>
                <w:color w:val="auto"/>
                <w:highlight w:val="none"/>
                <w:shd w:val="clear" w:color="auto" w:fill="auto"/>
                <w:vertAlign w:val="baseline"/>
                <w:lang w:val="en-US"/>
              </w:rPr>
              <w:t>并采取了改进措施</w:t>
            </w:r>
            <w:r>
              <w:rPr>
                <w:rFonts w:hint="eastAsia"/>
                <w:color w:val="auto"/>
                <w:highlight w:val="none"/>
                <w:shd w:val="clear" w:color="auto" w:fill="auto"/>
                <w:vertAlign w:val="baseline"/>
                <w:lang w:eastAsia="zh-CN"/>
              </w:rPr>
              <w:t>。</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43" w:hRule="atLeast"/>
        </w:trPr>
        <w:tc>
          <w:tcPr>
            <w:tcW w:w="2154" w:type="dxa"/>
            <w:vMerge w:val="restart"/>
            <w:shd w:val="clear" w:color="auto" w:fill="auto"/>
          </w:tcPr>
          <w:p>
            <w:pPr>
              <w:rPr>
                <w:rFonts w:hint="eastAsia" w:eastAsia="宋体"/>
                <w:color w:val="auto"/>
                <w:highlight w:val="none"/>
                <w:shd w:val="clear" w:color="auto" w:fill="auto"/>
                <w:lang w:val="en-US" w:eastAsia="zh-CN"/>
              </w:rPr>
            </w:pPr>
            <w:r>
              <w:rPr>
                <w:rFonts w:hint="eastAsia"/>
                <w:color w:val="auto"/>
                <w:highlight w:val="none"/>
                <w:shd w:val="clear" w:color="auto" w:fill="auto"/>
                <w:lang w:val="en-US" w:eastAsia="zh-CN"/>
              </w:rPr>
              <w:t>资源（总则）</w:t>
            </w:r>
          </w:p>
        </w:tc>
        <w:tc>
          <w:tcPr>
            <w:tcW w:w="960" w:type="dxa"/>
            <w:vMerge w:val="restart"/>
            <w:shd w:val="clear" w:color="auto" w:fill="auto"/>
          </w:tcPr>
          <w:p>
            <w:pPr>
              <w:rPr>
                <w:color w:val="auto"/>
                <w:highlight w:val="none"/>
                <w:shd w:val="clear" w:color="auto" w:fill="auto"/>
              </w:rPr>
            </w:pPr>
            <w:r>
              <w:rPr>
                <w:rFonts w:hint="eastAsia"/>
                <w:color w:val="auto"/>
                <w:szCs w:val="21"/>
                <w:highlight w:val="none"/>
                <w:shd w:val="clear" w:color="auto" w:fill="auto"/>
                <w:lang w:val="en-US" w:eastAsia="zh-CN"/>
              </w:rPr>
              <w:t>EO7.1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tcPr>
          <w:p>
            <w:pPr>
              <w:rPr>
                <w:color w:val="auto"/>
                <w:highlight w:val="none"/>
                <w:shd w:val="clear" w:color="auto" w:fill="auto"/>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手册第7.1条款、</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 xml:space="preserve">和最高管理层确定并提供所需的资源，以建立、实施、保持和持续改进质量管理体系。 </w:t>
            </w:r>
          </w:p>
          <w:p>
            <w:pPr>
              <w:numPr>
                <w:ilvl w:val="0"/>
                <w:numId w:val="2"/>
              </w:numP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现有内部资源的能力；</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rPr>
              <w:t>建筑面积</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2200</w:t>
            </w:r>
            <w:r>
              <w:rPr>
                <w:rFonts w:hint="eastAsia"/>
                <w:color w:val="auto"/>
                <w:highlight w:val="none"/>
                <w:u w:val="single"/>
                <w:shd w:val="clear" w:color="auto" w:fill="auto"/>
              </w:rPr>
              <w:t xml:space="preserve"> </w:t>
            </w:r>
            <w:r>
              <w:rPr>
                <w:rFonts w:hint="eastAsia"/>
                <w:color w:val="auto"/>
                <w:highlight w:val="none"/>
                <w:shd w:val="clear" w:color="auto" w:fill="auto"/>
              </w:rPr>
              <w:t>平方米；生产车间</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w:t>
            </w:r>
            <w:r>
              <w:rPr>
                <w:rFonts w:hint="eastAsia"/>
                <w:color w:val="auto"/>
                <w:highlight w:val="none"/>
                <w:u w:val="single"/>
                <w:shd w:val="clear" w:color="auto" w:fill="auto"/>
              </w:rPr>
              <w:t xml:space="preserve"> </w:t>
            </w:r>
            <w:r>
              <w:rPr>
                <w:rFonts w:hint="eastAsia"/>
                <w:color w:val="auto"/>
                <w:highlight w:val="none"/>
                <w:shd w:val="clear" w:color="auto" w:fill="auto"/>
              </w:rPr>
              <w:t>个；库房</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1</w:t>
            </w:r>
            <w:r>
              <w:rPr>
                <w:rFonts w:hint="eastAsia"/>
                <w:color w:val="auto"/>
                <w:highlight w:val="none"/>
                <w:u w:val="single"/>
                <w:shd w:val="clear" w:color="auto" w:fill="auto"/>
              </w:rPr>
              <w:t xml:space="preserve"> </w:t>
            </w:r>
            <w:r>
              <w:rPr>
                <w:rFonts w:hint="eastAsia"/>
                <w:color w:val="auto"/>
                <w:highlight w:val="none"/>
                <w:shd w:val="clear" w:color="auto" w:fill="auto"/>
              </w:rPr>
              <w:t>个；实验室</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rPr>
              <w:t xml:space="preserve">  </w:t>
            </w:r>
            <w:r>
              <w:rPr>
                <w:rFonts w:hint="eastAsia"/>
                <w:color w:val="auto"/>
                <w:highlight w:val="none"/>
                <w:shd w:val="clear" w:color="auto" w:fill="auto"/>
              </w:rPr>
              <w:t>个</w:t>
            </w:r>
            <w:r>
              <w:rPr>
                <w:rFonts w:hint="eastAsia"/>
                <w:color w:val="auto"/>
                <w:highlight w:val="none"/>
                <w:shd w:val="clear" w:color="auto" w:fil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主要生产设备有：</w:t>
            </w:r>
            <w:r>
              <w:rPr>
                <w:rFonts w:hint="eastAsia"/>
                <w:color w:val="auto"/>
                <w:highlight w:val="none"/>
                <w:u w:val="single"/>
                <w:shd w:val="clear" w:color="auto" w:fill="auto"/>
                <w:vertAlign w:val="baseline"/>
                <w:lang w:val="en-US" w:eastAsia="zh-CN"/>
              </w:rPr>
              <w:t xml:space="preserve"> </w:t>
            </w:r>
            <w:r>
              <w:rPr>
                <w:rFonts w:hint="eastAsia"/>
                <w:color w:val="auto"/>
                <w:highlight w:val="none"/>
                <w:u w:val="single"/>
                <w:shd w:val="clear" w:color="auto" w:fill="auto"/>
                <w:lang w:val="en-US" w:eastAsia="zh-CN"/>
              </w:rPr>
              <w:t>电烙铁、手电钻、交流接触调压器、手动试压泵、 换能器压力试验装置、多功能试验水槽</w:t>
            </w:r>
            <w:r>
              <w:rPr>
                <w:rFonts w:hint="eastAsia"/>
                <w:color w:val="auto"/>
                <w:highlight w:val="none"/>
                <w:u w:val="single"/>
                <w:shd w:val="clear" w:color="auto" w:fill="auto"/>
              </w:rPr>
              <w:t xml:space="preserve"> </w:t>
            </w:r>
            <w:r>
              <w:rPr>
                <w:rFonts w:hint="eastAsia"/>
                <w:color w:val="auto"/>
                <w:highlight w:val="none"/>
                <w:u w:val="single"/>
                <w:shd w:val="clear" w:color="auto" w:fill="auto"/>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主要安全和环保设备有：</w:t>
            </w:r>
            <w:r>
              <w:rPr>
                <w:rFonts w:hint="eastAsia"/>
                <w:color w:val="auto"/>
                <w:highlight w:val="none"/>
                <w:u w:val="single"/>
                <w:shd w:val="clear" w:color="auto" w:fill="auto"/>
                <w:vertAlign w:val="baseline"/>
                <w:lang w:val="en-US" w:eastAsia="zh-CN"/>
              </w:rPr>
              <w:t xml:space="preserve">  垃圾桶、消防栓、灭火器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shd w:val="clear" w:color="auto" w:fil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u w:val="none"/>
                <w:shd w:val="clear" w:color="auto" w:fill="auto"/>
                <w:vertAlign w:val="baseline"/>
                <w:lang w:val="en-US" w:eastAsia="zh-CN"/>
              </w:rPr>
              <w:t>特种设备</w:t>
            </w:r>
            <w:r>
              <w:rPr>
                <w:rFonts w:hint="eastAsia"/>
                <w:color w:val="auto"/>
                <w:highlight w:val="none"/>
                <w:shd w:val="clear" w:color="auto" w:fill="auto"/>
                <w:vertAlign w:val="baseline"/>
                <w:lang w:val="en-US" w:eastAsia="zh-CN"/>
              </w:rPr>
              <w:t>：</w:t>
            </w:r>
            <w:r>
              <w:rPr>
                <w:rFonts w:hint="eastAsia"/>
                <w:color w:val="auto"/>
                <w:highlight w:val="none"/>
                <w:shd w:val="clear" w:color="auto" w:fill="auto"/>
                <w:vertAlign w:val="baseline"/>
                <w:lang w:val="en-US" w:eastAsia="zh-CN"/>
              </w:rPr>
              <w:sym w:font="Wingdings" w:char="00A8"/>
            </w:r>
            <w:r>
              <w:rPr>
                <w:rFonts w:hint="eastAsia"/>
                <w:color w:val="auto"/>
                <w:highlight w:val="none"/>
                <w:u w:val="none"/>
                <w:shd w:val="clear" w:color="auto" w:fill="auto"/>
                <w:vertAlign w:val="baseline"/>
                <w:lang w:val="en-US" w:eastAsia="zh-CN"/>
              </w:rPr>
              <w:t xml:space="preserve">叉车（燃油）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行</w:t>
            </w:r>
            <w:r>
              <w:rPr>
                <w:rFonts w:hint="eastAsia"/>
                <w:color w:val="auto"/>
                <w:highlight w:val="none"/>
                <w:u w:val="none"/>
                <w:shd w:val="clear" w:color="auto" w:fill="auto"/>
                <w:vertAlign w:val="baseline"/>
                <w:lang w:val="en-US" w:eastAsia="zh-CN"/>
              </w:rPr>
              <w:t xml:space="preserve">车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锅炉 </w:t>
            </w:r>
            <w:r>
              <w:rPr>
                <w:rFonts w:hint="eastAsia"/>
                <w:color w:val="auto"/>
                <w:highlight w:val="none"/>
                <w:shd w:val="clear" w:color="auto" w:fill="auto"/>
                <w:vertAlign w:val="baseline"/>
                <w:lang w:val="en-US" w:eastAsia="zh-CN"/>
              </w:rPr>
              <w:sym w:font="Wingdings" w:char="00FE"/>
            </w:r>
            <w:r>
              <w:rPr>
                <w:rFonts w:hint="eastAsia"/>
                <w:color w:val="auto"/>
                <w:highlight w:val="none"/>
                <w:shd w:val="clear" w:color="auto" w:fill="auto"/>
                <w:vertAlign w:val="baseline"/>
                <w:lang w:val="en-US" w:eastAsia="zh-CN"/>
              </w:rPr>
              <w:t xml:space="preserve">电梯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压力容器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压力管道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u w:val="none"/>
                <w:shd w:val="clear" w:color="auto" w:fill="auto"/>
                <w:vertAlign w:val="baseline"/>
                <w:lang w:val="en-US" w:eastAsia="zh-CN"/>
              </w:rPr>
              <w:t>特种设备管理：</w:t>
            </w:r>
            <w:r>
              <w:rPr>
                <w:rFonts w:hint="eastAsia"/>
                <w:color w:val="auto"/>
                <w:highlight w:val="none"/>
                <w:shd w:val="clear" w:color="auto" w:fill="auto"/>
                <w:vertAlign w:val="baseline"/>
                <w:lang w:val="en-US" w:eastAsia="zh-CN"/>
              </w:rPr>
              <w:sym w:font="Wingdings" w:char="00FE"/>
            </w:r>
            <w:r>
              <w:rPr>
                <w:rFonts w:hint="eastAsia"/>
                <w:color w:val="auto"/>
                <w:highlight w:val="none"/>
                <w:u w:val="none"/>
                <w:shd w:val="clear" w:color="auto" w:fill="auto"/>
                <w:vertAlign w:val="baseline"/>
                <w:lang w:val="en-US" w:eastAsia="zh-CN"/>
              </w:rPr>
              <w:t xml:space="preserve">进行了定期检验  </w:t>
            </w:r>
            <w:r>
              <w:rPr>
                <w:rFonts w:hint="eastAsia"/>
                <w:color w:val="auto"/>
                <w:highlight w:val="none"/>
                <w:shd w:val="clear" w:color="auto" w:fill="auto"/>
                <w:vertAlign w:val="baseline"/>
                <w:lang w:val="en-US" w:eastAsia="zh-CN"/>
              </w:rPr>
              <w:sym w:font="Wingdings" w:char="00A8"/>
            </w:r>
            <w:r>
              <w:rPr>
                <w:rFonts w:hint="eastAsia"/>
                <w:color w:val="auto"/>
                <w:highlight w:val="none"/>
                <w:shd w:val="clear" w:color="auto" w:fill="auto"/>
                <w:vertAlign w:val="baseline"/>
                <w:lang w:val="en-US" w:eastAsia="zh-CN"/>
              </w:rPr>
              <w:t>未进行</w:t>
            </w:r>
            <w:r>
              <w:rPr>
                <w:rFonts w:hint="eastAsia"/>
                <w:color w:val="auto"/>
                <w:highlight w:val="none"/>
                <w:u w:val="none"/>
                <w:shd w:val="clear" w:color="auto" w:fill="auto"/>
                <w:vertAlign w:val="baseline"/>
                <w:lang w:val="en-US" w:eastAsia="zh-CN"/>
              </w:rPr>
              <w:t xml:space="preserve">定期检验的有： </w:t>
            </w:r>
            <w:r>
              <w:rPr>
                <w:rFonts w:hint="eastAsia"/>
                <w:color w:val="auto"/>
                <w:highlight w:val="none"/>
                <w:u w:val="single"/>
                <w:shd w:val="clear" w:color="auto" w:fill="auto"/>
                <w:vertAlign w:val="baseline"/>
                <w:lang w:val="en-US" w:eastAsia="zh-CN"/>
              </w:rPr>
              <w:t xml:space="preserve">            </w:t>
            </w:r>
          </w:p>
          <w:p>
            <w:pPr>
              <w:jc w:val="left"/>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电梯特种设备使用登记证编号：梯12苏A32382（20），设备代码：31201004120200058185，特种设备监督检验报告编号：NJDT202041738,检测机构：南京市特种设备安全监督检验研究院，检验日期：2020年06月28日</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p>
            <w:pPr>
              <w:widowControl/>
              <w:numPr>
                <w:ilvl w:val="0"/>
                <w:numId w:val="0"/>
              </w:numPr>
              <w:spacing w:before="40"/>
              <w:jc w:val="left"/>
              <w:rPr>
                <w:rFonts w:hint="default" w:eastAsia="宋体"/>
                <w:color w:val="auto"/>
                <w:highlight w:val="none"/>
                <w:shd w:val="clear" w:color="auto" w:fill="auto"/>
                <w:lang w:val="en-US" w:eastAsia="zh-CN"/>
              </w:rPr>
            </w:pPr>
            <w:r>
              <w:rPr>
                <w:rFonts w:hint="eastAsia"/>
                <w:color w:val="auto"/>
                <w:highlight w:val="none"/>
                <w:shd w:val="clear" w:color="auto" w:fill="auto"/>
              </w:rPr>
              <w:t>动力设施和辅助设施</w:t>
            </w:r>
            <w:r>
              <w:rPr>
                <w:rFonts w:hint="eastAsia"/>
                <w:color w:val="auto"/>
                <w:highlight w:val="none"/>
                <w:shd w:val="clear" w:color="auto" w:fill="auto"/>
                <w:lang w:val="en-US" w:eastAsia="zh-CN"/>
              </w:rPr>
              <w:t>的状况，存在下列的场所：无</w:t>
            </w:r>
          </w:p>
          <w:p>
            <w:pPr>
              <w:widowControl/>
              <w:numPr>
                <w:ilvl w:val="0"/>
                <w:numId w:val="0"/>
              </w:numPr>
              <w:spacing w:before="40"/>
              <w:jc w:val="left"/>
              <w:rPr>
                <w:rFonts w:hint="eastAsia"/>
                <w:color w:val="auto"/>
                <w:highlight w:val="none"/>
                <w:shd w:val="clear" w:color="auto" w:fill="auto"/>
                <w:lang w:val="en-US" w:eastAsia="zh-CN"/>
              </w:rPr>
            </w:pP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污水处理站</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锅炉房</w:t>
            </w:r>
            <w:r>
              <w:rPr>
                <w:rFonts w:hint="eastAsia"/>
                <w:color w:val="auto"/>
                <w:highlight w:val="none"/>
                <w:shd w:val="clear" w:color="auto" w:fill="auto"/>
                <w:lang w:eastAsia="zh-CN"/>
              </w:rPr>
              <w:t>（</w:t>
            </w:r>
            <w:r>
              <w:rPr>
                <w:rFonts w:hint="eastAsia"/>
                <w:color w:val="auto"/>
                <w:highlight w:val="none"/>
                <w:shd w:val="clear" w:color="auto" w:fill="auto"/>
                <w:lang w:val="en-US" w:eastAsia="zh-CN"/>
              </w:rPr>
              <w:t>余热</w:t>
            </w:r>
            <w:r>
              <w:rPr>
                <w:rFonts w:hint="eastAsia"/>
                <w:color w:val="auto"/>
                <w:highlight w:val="none"/>
                <w:shd w:val="clear" w:color="auto" w:fill="auto"/>
                <w:lang w:eastAsia="zh-CN"/>
              </w:rPr>
              <w:t>）</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高压配电室</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低压配电室</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空压站</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制冷站</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水处理 </w:t>
            </w:r>
          </w:p>
          <w:p>
            <w:pPr>
              <w:widowControl/>
              <w:numPr>
                <w:ilvl w:val="0"/>
                <w:numId w:val="0"/>
              </w:numPr>
              <w:spacing w:before="40"/>
              <w:jc w:val="left"/>
              <w:rPr>
                <w:rFonts w:hint="default" w:eastAsia="宋体"/>
                <w:color w:val="auto"/>
                <w:highlight w:val="none"/>
                <w:shd w:val="clear" w:color="auto" w:fill="auto"/>
                <w:lang w:val="en-US" w:eastAsia="zh-CN"/>
              </w:rPr>
            </w:pP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消防中控室</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消防泵房</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除尘装置</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尾气处理</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FE"/>
            </w:r>
            <w:r>
              <w:rPr>
                <w:rFonts w:hint="eastAsia"/>
                <w:color w:val="auto"/>
                <w:highlight w:val="none"/>
                <w:shd w:val="clear" w:color="auto" w:fill="auto"/>
              </w:rPr>
              <w:t>危化品库房</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FE"/>
            </w:r>
            <w:r>
              <w:rPr>
                <w:rFonts w:hint="eastAsia"/>
                <w:color w:val="auto"/>
                <w:highlight w:val="none"/>
                <w:shd w:val="clear" w:color="auto" w:fill="auto"/>
              </w:rPr>
              <w:t>危险废弃物存放处</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改建/扩建施工现场</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食堂</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宿舍</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rPr>
              <w:t>班车</w:t>
            </w:r>
            <w:r>
              <w:rPr>
                <w:rFonts w:hint="eastAsia"/>
                <w:color w:val="auto"/>
                <w:highlight w:val="none"/>
                <w:shd w:val="clear" w:color="auto" w:fill="auto"/>
                <w:lang w:val="en-US" w:eastAsia="zh-CN"/>
              </w:rPr>
              <w:t xml:space="preserve">  </w:t>
            </w:r>
            <w:r>
              <w:rPr>
                <w:rFonts w:hint="default"/>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其他—— </w:t>
            </w:r>
          </w:p>
          <w:p>
            <w:pPr>
              <w:rPr>
                <w:rFonts w:hint="eastAsia"/>
                <w:color w:val="auto"/>
                <w:szCs w:val="21"/>
                <w:highlight w:val="none"/>
                <w:shd w:val="clear" w:color="auto" w:fill="auto"/>
                <w:lang w:val="en-US" w:eastAsia="zh-CN"/>
              </w:rPr>
            </w:pPr>
          </w:p>
          <w:p>
            <w:pPr>
              <w:rPr>
                <w:rFonts w:hint="eastAsia"/>
                <w:color w:val="auto"/>
                <w:highlight w:val="none"/>
                <w:u w:val="single"/>
                <w:shd w:val="clear" w:color="auto" w:fill="auto"/>
                <w:vertAlign w:val="baseline"/>
                <w:lang w:val="en-US" w:eastAsia="zh-CN"/>
              </w:rPr>
            </w:pPr>
            <w:r>
              <w:rPr>
                <w:rFonts w:hint="eastAsia"/>
                <w:color w:val="auto"/>
                <w:szCs w:val="21"/>
                <w:highlight w:val="none"/>
                <w:shd w:val="clear" w:color="auto" w:fill="auto"/>
                <w:lang w:val="en-US" w:eastAsia="zh-CN"/>
              </w:rPr>
              <w:t>还存在哪些局限和不足：</w:t>
            </w:r>
            <w:r>
              <w:rPr>
                <w:rFonts w:hint="eastAsia"/>
                <w:color w:val="auto"/>
                <w:highlight w:val="none"/>
                <w:u w:val="single"/>
                <w:shd w:val="clear" w:color="auto" w:fill="auto"/>
                <w:vertAlign w:val="baseline"/>
                <w:lang w:val="en-US" w:eastAsia="zh-CN"/>
              </w:rPr>
              <w:t xml:space="preserve">         无                            </w:t>
            </w:r>
          </w:p>
          <w:p>
            <w:pPr>
              <w:rPr>
                <w:rFonts w:hint="default"/>
                <w:color w:val="auto"/>
                <w:highlight w:val="none"/>
                <w:u w:val="single"/>
                <w:shd w:val="clear" w:color="auto" w:fill="auto"/>
                <w:vertAlign w:val="baseline"/>
                <w:lang w:val="en-US" w:eastAsia="zh-CN"/>
              </w:rPr>
            </w:pPr>
          </w:p>
          <w:p>
            <w:pPr>
              <w:numPr>
                <w:ilvl w:val="0"/>
                <w:numId w:val="2"/>
              </w:numPr>
              <w:ind w:left="0" w:leftChars="0" w:firstLine="0" w:firstLineChars="0"/>
              <w:rPr>
                <w:color w:val="auto"/>
                <w:highlight w:val="none"/>
                <w:shd w:val="clear" w:color="auto" w:fill="auto"/>
              </w:rPr>
            </w:pPr>
            <w:r>
              <w:rPr>
                <w:rFonts w:hint="eastAsia"/>
                <w:color w:val="auto"/>
                <w:szCs w:val="21"/>
                <w:highlight w:val="none"/>
                <w:shd w:val="clear" w:color="auto" w:fill="auto"/>
                <w:lang w:val="en-US" w:eastAsia="zh-CN"/>
              </w:rPr>
              <w:t>需要从外部供方获得的资源：</w:t>
            </w:r>
            <w:r>
              <w:rPr>
                <w:rFonts w:hint="eastAsia"/>
                <w:color w:val="auto"/>
                <w:highlight w:val="none"/>
                <w:u w:val="none"/>
                <w:shd w:val="clear" w:color="auto" w:fill="auto"/>
                <w:vertAlign w:val="baseline"/>
                <w:lang w:val="en-US" w:eastAsia="zh-CN"/>
              </w:rPr>
              <w:t xml:space="preserve"> </w:t>
            </w:r>
            <w:r>
              <w:rPr>
                <w:rFonts w:hint="eastAsia"/>
                <w:color w:val="auto"/>
                <w:highlight w:val="none"/>
                <w:u w:val="single"/>
                <w:shd w:val="clear" w:color="auto" w:fill="auto"/>
                <w:vertAlign w:val="baseline"/>
                <w:lang w:val="en-US" w:eastAsia="zh-CN"/>
              </w:rPr>
              <w:t xml:space="preserve">    产品包装运输                           </w:t>
            </w:r>
            <w:r>
              <w:rPr>
                <w:rFonts w:hint="eastAsia"/>
                <w:color w:val="auto"/>
                <w:highlight w:val="none"/>
                <w:u w:val="none"/>
                <w:shd w:val="clear" w:color="auto" w:fill="auto"/>
                <w:vertAlign w:val="baseline"/>
                <w:lang w:val="en-US" w:eastAsia="zh-CN"/>
              </w:rPr>
              <w:t xml:space="preserve">                            </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restart"/>
            <w:shd w:val="clear" w:color="auto" w:fill="auto"/>
            <w:vAlign w:val="top"/>
          </w:tcPr>
          <w:p>
            <w:pPr>
              <w:rPr>
                <w:color w:val="auto"/>
                <w:highlight w:val="none"/>
                <w:shd w:val="clear" w:color="auto" w:fill="auto"/>
              </w:rPr>
            </w:pPr>
            <w:r>
              <w:rPr>
                <w:rFonts w:hint="eastAsia"/>
                <w:color w:val="auto"/>
                <w:lang w:val="en-US" w:eastAsia="zh-CN"/>
              </w:rPr>
              <w:t>资源提供</w:t>
            </w:r>
          </w:p>
        </w:tc>
        <w:tc>
          <w:tcPr>
            <w:tcW w:w="960" w:type="dxa"/>
            <w:vMerge w:val="restart"/>
            <w:shd w:val="clear" w:color="auto" w:fill="auto"/>
            <w:vAlign w:val="top"/>
          </w:tcPr>
          <w:p>
            <w:pPr>
              <w:rPr>
                <w:color w:val="auto"/>
                <w:highlight w:val="none"/>
                <w:shd w:val="clear" w:color="auto" w:fill="auto"/>
              </w:rPr>
            </w:pPr>
            <w:r>
              <w:rPr>
                <w:rFonts w:hint="eastAsia"/>
                <w:color w:val="auto"/>
                <w:lang w:val="en-US" w:eastAsia="zh-CN"/>
              </w:rPr>
              <w:t>EO</w:t>
            </w:r>
            <w:r>
              <w:rPr>
                <w:rFonts w:hint="eastAsia"/>
                <w:color w:val="auto"/>
              </w:rPr>
              <w:t>7.</w:t>
            </w:r>
            <w:r>
              <w:rPr>
                <w:rFonts w:hint="eastAsia"/>
                <w:color w:val="auto"/>
                <w:lang w:val="en-US" w:eastAsia="zh-CN"/>
              </w:rPr>
              <w:t>1</w:t>
            </w:r>
          </w:p>
        </w:tc>
        <w:tc>
          <w:tcPr>
            <w:tcW w:w="744" w:type="dxa"/>
            <w:shd w:val="clear" w:color="auto" w:fill="auto"/>
            <w:vAlign w:val="top"/>
          </w:tcPr>
          <w:p>
            <w:pPr>
              <w:rPr>
                <w:rFonts w:hint="eastAsia"/>
                <w:color w:val="auto"/>
                <w:highlight w:val="none"/>
                <w:shd w:val="clear" w:color="auto" w:fill="auto"/>
                <w:lang w:val="en-US" w:eastAsia="zh-CN"/>
              </w:rPr>
            </w:pPr>
            <w:r>
              <w:rPr>
                <w:rFonts w:hint="eastAsia"/>
                <w:color w:val="auto"/>
                <w:lang w:val="en-US" w:eastAsia="zh-CN"/>
              </w:rPr>
              <w:t>文件名称</w:t>
            </w:r>
          </w:p>
        </w:tc>
        <w:tc>
          <w:tcPr>
            <w:tcW w:w="9269" w:type="dxa"/>
            <w:shd w:val="clear" w:color="auto" w:fill="auto"/>
            <w:vAlign w:val="top"/>
          </w:tcPr>
          <w:p>
            <w:pPr>
              <w:rPr>
                <w:rFonts w:hint="eastAsia"/>
                <w:color w:val="auto"/>
                <w:szCs w:val="21"/>
                <w:highlight w:val="none"/>
                <w:shd w:val="clear" w:color="auto" w:fill="auto"/>
                <w:lang w:val="en-US" w:eastAsia="zh-CN"/>
              </w:rPr>
            </w:pPr>
            <w:r>
              <w:rPr>
                <w:rFonts w:hint="eastAsia"/>
                <w:color w:val="auto"/>
                <w:lang w:val="en-US" w:eastAsia="zh-CN"/>
              </w:rPr>
              <w:t>如：</w:t>
            </w:r>
            <w:r>
              <w:rPr>
                <w:rFonts w:hint="eastAsia"/>
                <w:color w:val="auto"/>
                <w:lang w:val="en-US" w:eastAsia="zh-CN"/>
              </w:rPr>
              <w:sym w:font="Wingdings" w:char="00FE"/>
            </w:r>
            <w:r>
              <w:rPr>
                <w:rFonts w:hint="eastAsia"/>
                <w:color w:val="auto"/>
                <w:lang w:val="en-US" w:eastAsia="zh-CN"/>
              </w:rPr>
              <w:t>手册第7.1章</w:t>
            </w:r>
          </w:p>
        </w:tc>
        <w:tc>
          <w:tcPr>
            <w:tcW w:w="1582" w:type="dxa"/>
            <w:vMerge w:val="restart"/>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22" w:hRule="atLeast"/>
        </w:trPr>
        <w:tc>
          <w:tcPr>
            <w:tcW w:w="2154" w:type="dxa"/>
            <w:vMerge w:val="continue"/>
            <w:shd w:val="clear" w:color="auto" w:fill="auto"/>
            <w:vAlign w:val="top"/>
          </w:tcPr>
          <w:p>
            <w:pPr>
              <w:rPr>
                <w:color w:val="auto"/>
                <w:highlight w:val="none"/>
                <w:shd w:val="clear" w:color="auto" w:fill="auto"/>
              </w:rPr>
            </w:pPr>
          </w:p>
        </w:tc>
        <w:tc>
          <w:tcPr>
            <w:tcW w:w="960" w:type="dxa"/>
            <w:vMerge w:val="continue"/>
            <w:shd w:val="clear" w:color="auto" w:fill="auto"/>
            <w:vAlign w:val="top"/>
          </w:tcPr>
          <w:p>
            <w:pPr>
              <w:rPr>
                <w:color w:val="auto"/>
                <w:highlight w:val="none"/>
                <w:shd w:val="clear" w:color="auto" w:fill="auto"/>
              </w:rPr>
            </w:pPr>
          </w:p>
        </w:tc>
        <w:tc>
          <w:tcPr>
            <w:tcW w:w="744" w:type="dxa"/>
            <w:shd w:val="clear" w:color="auto" w:fill="auto"/>
            <w:vAlign w:val="top"/>
          </w:tcPr>
          <w:p>
            <w:pPr>
              <w:rPr>
                <w:rFonts w:hint="eastAsia"/>
                <w:color w:val="auto"/>
                <w:highlight w:val="none"/>
                <w:shd w:val="clear" w:color="auto" w:fill="auto"/>
                <w:lang w:val="en-US" w:eastAsia="zh-CN"/>
              </w:rPr>
            </w:pPr>
            <w:r>
              <w:rPr>
                <w:rFonts w:hint="eastAsia"/>
                <w:color w:val="auto"/>
                <w:lang w:val="en-US" w:eastAsia="zh-CN"/>
              </w:rPr>
              <w:t>运行证据</w:t>
            </w:r>
          </w:p>
        </w:tc>
        <w:tc>
          <w:tcPr>
            <w:tcW w:w="9269" w:type="dxa"/>
            <w:shd w:val="clear" w:color="auto" w:fill="auto"/>
            <w:vAlign w:val="top"/>
          </w:tcPr>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对环境有关的费用包括：</w:t>
            </w:r>
          </w:p>
          <w:p>
            <w:pPr>
              <w:rPr>
                <w:rFonts w:hint="eastAsia"/>
                <w:color w:val="auto"/>
                <w:lang w:val="en-US" w:eastAsia="zh-CN"/>
              </w:rPr>
            </w:pPr>
            <w:r>
              <w:rPr>
                <w:rFonts w:hint="eastAsia"/>
                <w:color w:val="auto"/>
                <w:lang w:val="en-US" w:eastAsia="zh-CN"/>
              </w:rPr>
              <w:t>能源和资源消耗：</w:t>
            </w:r>
            <w:r>
              <w:rPr>
                <w:rFonts w:hint="eastAsia"/>
                <w:color w:val="auto"/>
                <w:lang w:val="en-US" w:eastAsia="zh-CN"/>
              </w:rPr>
              <w:sym w:font="Wingdings" w:char="00FE"/>
            </w:r>
            <w:r>
              <w:rPr>
                <w:rFonts w:hint="eastAsia"/>
                <w:color w:val="auto"/>
                <w:lang w:val="en-US" w:eastAsia="zh-CN"/>
              </w:rPr>
              <w:t xml:space="preserve">能源消耗费 </w:t>
            </w:r>
            <w:r>
              <w:rPr>
                <w:rFonts w:hint="eastAsia"/>
                <w:color w:val="auto"/>
                <w:lang w:val="en-US" w:eastAsia="zh-CN"/>
              </w:rPr>
              <w:sym w:font="Wingdings" w:char="00FE"/>
            </w:r>
            <w:r>
              <w:rPr>
                <w:rFonts w:hint="eastAsia"/>
                <w:color w:val="auto"/>
                <w:lang w:val="en-US" w:eastAsia="zh-CN"/>
              </w:rPr>
              <w:t xml:space="preserve">资源消耗费 </w:t>
            </w:r>
            <w:r>
              <w:rPr>
                <w:rFonts w:hint="eastAsia"/>
                <w:color w:val="auto"/>
                <w:lang w:val="en-US" w:eastAsia="zh-CN"/>
              </w:rPr>
              <w:sym w:font="Wingdings" w:char="00FE"/>
            </w:r>
          </w:p>
          <w:p>
            <w:pPr>
              <w:rPr>
                <w:rFonts w:hint="eastAsia"/>
                <w:color w:val="auto"/>
                <w:lang w:val="en-US" w:eastAsia="zh-CN"/>
              </w:rPr>
            </w:pPr>
            <w:r>
              <w:rPr>
                <w:rFonts w:hint="eastAsia"/>
                <w:color w:val="auto"/>
                <w:lang w:val="en-US" w:eastAsia="zh-CN"/>
              </w:rPr>
              <w:t xml:space="preserve">废弃物排放：   </w:t>
            </w:r>
            <w:r>
              <w:rPr>
                <w:rFonts w:hint="eastAsia"/>
                <w:color w:val="auto"/>
                <w:lang w:val="en-US" w:eastAsia="zh-CN"/>
              </w:rPr>
              <w:sym w:font="Wingdings" w:char="00FE"/>
            </w:r>
            <w:r>
              <w:rPr>
                <w:rFonts w:hint="eastAsia"/>
                <w:color w:val="auto"/>
                <w:lang w:val="en-US" w:eastAsia="zh-CN"/>
              </w:rPr>
              <w:t xml:space="preserve">物业处理费 </w:t>
            </w:r>
            <w:r>
              <w:rPr>
                <w:rFonts w:hint="eastAsia"/>
                <w:color w:val="auto"/>
                <w:lang w:val="en-US" w:eastAsia="zh-CN"/>
              </w:rPr>
              <w:sym w:font="Wingdings" w:char="00FE"/>
            </w:r>
            <w:r>
              <w:rPr>
                <w:rFonts w:hint="eastAsia"/>
                <w:color w:val="auto"/>
                <w:lang w:val="en-US" w:eastAsia="zh-CN"/>
              </w:rPr>
              <w:t xml:space="preserve">环境监测费用 </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r>
              <w:rPr>
                <w:rFonts w:hint="eastAsia"/>
                <w:color w:val="auto"/>
                <w:lang w:val="en-US" w:eastAsia="zh-CN"/>
              </w:rPr>
              <w:sym w:font="Wingdings" w:char="00FE"/>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p>
          <w:p>
            <w:pPr>
              <w:ind w:firstLine="840" w:firstLineChars="400"/>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监视和测量设备检定费用  </w:t>
            </w:r>
            <w:r>
              <w:rPr>
                <w:rFonts w:hint="eastAsia"/>
                <w:color w:val="auto"/>
                <w:lang w:val="en-US" w:eastAsia="zh-CN"/>
              </w:rPr>
              <w:sym w:font="Wingdings" w:char="00A8"/>
            </w:r>
            <w:r>
              <w:rPr>
                <w:rFonts w:hint="eastAsia"/>
                <w:color w:val="auto"/>
                <w:lang w:val="en-US" w:eastAsia="zh-CN"/>
              </w:rPr>
              <w:t xml:space="preserve">环境影响评价费用 </w:t>
            </w:r>
            <w:r>
              <w:rPr>
                <w:rFonts w:hint="eastAsia"/>
                <w:color w:val="auto"/>
                <w:lang w:val="en-US" w:eastAsia="zh-CN"/>
              </w:rPr>
              <w:sym w:font="Wingdings" w:char="00FE"/>
            </w:r>
            <w:r>
              <w:rPr>
                <w:rFonts w:hint="eastAsia"/>
                <w:color w:val="auto"/>
                <w:lang w:val="en-US" w:eastAsia="zh-CN"/>
              </w:rPr>
              <w:t xml:space="preserve">环保设备运行费用 </w:t>
            </w:r>
          </w:p>
          <w:p>
            <w:pPr>
              <w:ind w:firstLine="840" w:firstLineChars="400"/>
              <w:rPr>
                <w:rFonts w:hint="default"/>
                <w:color w:val="auto"/>
                <w:lang w:val="en-US" w:eastAsia="zh-CN"/>
              </w:rPr>
            </w:pPr>
            <w:r>
              <w:rPr>
                <w:rFonts w:hint="eastAsia"/>
                <w:color w:val="auto"/>
                <w:lang w:val="en-US" w:eastAsia="zh-CN"/>
              </w:rPr>
              <w:sym w:font="Wingdings" w:char="00FE"/>
            </w:r>
            <w:r>
              <w:rPr>
                <w:rFonts w:hint="eastAsia"/>
                <w:color w:val="auto"/>
                <w:lang w:val="en-US" w:eastAsia="zh-CN"/>
              </w:rPr>
              <w:t xml:space="preserve">消防设施运行费用 </w:t>
            </w:r>
            <w:r>
              <w:rPr>
                <w:rFonts w:hint="eastAsia"/>
                <w:color w:val="auto"/>
                <w:lang w:val="en-US" w:eastAsia="zh-CN"/>
              </w:rPr>
              <w:sym w:font="Wingdings" w:char="00FE"/>
            </w:r>
            <w:r>
              <w:rPr>
                <w:rFonts w:hint="eastAsia"/>
                <w:color w:val="auto"/>
                <w:lang w:val="en-US" w:eastAsia="zh-CN"/>
              </w:rPr>
              <w:t xml:space="preserve">应急费用  </w:t>
            </w:r>
            <w:r>
              <w:rPr>
                <w:rFonts w:hint="eastAsia"/>
                <w:color w:val="auto"/>
                <w:lang w:val="en-US" w:eastAsia="zh-CN"/>
              </w:rPr>
              <w:sym w:font="Wingdings" w:char="00A8"/>
            </w:r>
            <w:r>
              <w:rPr>
                <w:rFonts w:hint="eastAsia"/>
                <w:color w:val="auto"/>
                <w:lang w:val="en-US" w:eastAsia="zh-CN"/>
              </w:rPr>
              <w:t xml:space="preserve">罚款  </w:t>
            </w:r>
            <w:r>
              <w:rPr>
                <w:rFonts w:hint="eastAsia"/>
                <w:color w:val="auto"/>
                <w:lang w:val="en-US" w:eastAsia="zh-CN"/>
              </w:rPr>
              <w:sym w:font="Wingdings" w:char="00FE"/>
            </w:r>
            <w:r>
              <w:rPr>
                <w:rFonts w:hint="eastAsia"/>
                <w:color w:val="auto"/>
                <w:lang w:val="en-US" w:eastAsia="zh-CN"/>
              </w:rPr>
              <w:t>其他</w:t>
            </w:r>
          </w:p>
          <w:p>
            <w:pPr>
              <w:ind w:firstLine="840" w:firstLineChars="400"/>
              <w:rPr>
                <w:rFonts w:hint="eastAsia"/>
                <w:color w:val="auto"/>
                <w:lang w:val="en-US" w:eastAsia="zh-CN"/>
              </w:rPr>
            </w:pPr>
          </w:p>
          <w:p>
            <w:pPr>
              <w:rPr>
                <w:rFonts w:hint="default"/>
                <w:color w:val="auto"/>
                <w:lang w:val="en-US" w:eastAsia="zh-CN"/>
              </w:rPr>
            </w:pPr>
            <w:r>
              <w:rPr>
                <w:rFonts w:hint="eastAsia"/>
                <w:color w:val="auto"/>
                <w:lang w:val="en-US" w:eastAsia="zh-CN"/>
              </w:rPr>
              <w:t>本年度至今的支出大约人民币</w:t>
            </w:r>
            <w:r>
              <w:rPr>
                <w:rFonts w:hint="eastAsia" w:ascii="Calibri" w:hAnsi="Calibri"/>
                <w:color w:val="auto"/>
                <w:u w:val="single"/>
                <w:lang w:val="en-US" w:eastAsia="zh-CN"/>
              </w:rPr>
              <w:t xml:space="preserve"> 148580.85元</w:t>
            </w:r>
          </w:p>
          <w:p>
            <w:pPr>
              <w:rPr>
                <w:color w:val="auto"/>
              </w:rPr>
            </w:pPr>
          </w:p>
          <w:p>
            <w:pPr>
              <w:rPr>
                <w:rFonts w:hint="eastAsia"/>
                <w:color w:val="auto"/>
                <w:lang w:val="en-US" w:eastAsia="zh-CN"/>
              </w:rPr>
            </w:pPr>
            <w:r>
              <w:rPr>
                <w:rFonts w:hint="eastAsia"/>
                <w:color w:val="auto"/>
                <w:lang w:val="en-US" w:eastAsia="zh-CN"/>
              </w:rPr>
              <w:t>资源能耗情况统计：</w:t>
            </w:r>
          </w:p>
          <w:p>
            <w:pPr>
              <w:rPr>
                <w:rFonts w:hint="eastAsia" w:ascii="Calibri" w:hAnsi="Calibri"/>
                <w:color w:val="auto"/>
                <w:u w:val="single"/>
                <w:lang w:val="en-US" w:eastAsia="zh-CN"/>
              </w:rPr>
            </w:pPr>
            <w:r>
              <w:rPr>
                <w:rFonts w:hint="eastAsia"/>
                <w:color w:val="auto"/>
                <w:lang w:val="en-US" w:eastAsia="zh-CN"/>
              </w:rPr>
              <w:t>上一年度单位产品/产值能耗人民币</w:t>
            </w:r>
            <w:r>
              <w:rPr>
                <w:rFonts w:hint="eastAsia" w:ascii="Calibri" w:hAnsi="Calibri"/>
                <w:color w:val="auto"/>
                <w:u w:val="single"/>
                <w:lang w:val="en-US" w:eastAsia="zh-CN"/>
              </w:rPr>
              <w:t xml:space="preserve"> 0.006699元 ；</w:t>
            </w:r>
          </w:p>
          <w:p>
            <w:pPr>
              <w:rPr>
                <w:rFonts w:hint="eastAsia"/>
                <w:color w:val="auto"/>
                <w:szCs w:val="21"/>
                <w:highlight w:val="none"/>
                <w:shd w:val="clear" w:color="auto" w:fill="auto"/>
                <w:lang w:val="en-US" w:eastAsia="zh-CN"/>
              </w:rPr>
            </w:pPr>
            <w:r>
              <w:rPr>
                <w:rFonts w:hint="eastAsia"/>
                <w:color w:val="auto"/>
                <w:lang w:val="en-US" w:eastAsia="zh-CN"/>
              </w:rPr>
              <w:t>本年度单位产品/产值能耗人民币</w:t>
            </w:r>
            <w:r>
              <w:rPr>
                <w:rFonts w:hint="eastAsia" w:ascii="Calibri" w:hAnsi="Calibri"/>
                <w:color w:val="auto"/>
                <w:u w:val="single"/>
                <w:lang w:val="en-US" w:eastAsia="zh-CN"/>
              </w:rPr>
              <w:t xml:space="preserve">  0.0112415元；</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68" w:hRule="atLeast"/>
        </w:trPr>
        <w:tc>
          <w:tcPr>
            <w:tcW w:w="2154" w:type="dxa"/>
            <w:vMerge w:val="restart"/>
            <w:shd w:val="clear" w:color="auto" w:fill="auto"/>
          </w:tcPr>
          <w:p>
            <w:pPr>
              <w:rPr>
                <w:color w:val="auto"/>
                <w:highlight w:val="none"/>
                <w:shd w:val="clear" w:color="auto" w:fill="auto"/>
              </w:rPr>
            </w:pPr>
            <w:r>
              <w:rPr>
                <w:rFonts w:hint="eastAsia"/>
                <w:color w:val="auto"/>
                <w:highlight w:val="none"/>
                <w:shd w:val="clear" w:color="auto" w:fill="auto"/>
              </w:rPr>
              <w:t>意识</w:t>
            </w:r>
          </w:p>
        </w:tc>
        <w:tc>
          <w:tcPr>
            <w:tcW w:w="960" w:type="dxa"/>
            <w:vMerge w:val="restart"/>
            <w:shd w:val="clear" w:color="auto" w:fill="auto"/>
          </w:tcPr>
          <w:p>
            <w:pPr>
              <w:rPr>
                <w:color w:val="auto"/>
                <w:highlight w:val="none"/>
                <w:shd w:val="clear" w:color="auto" w:fill="auto"/>
              </w:rPr>
            </w:pPr>
            <w:r>
              <w:rPr>
                <w:rFonts w:hint="eastAsia"/>
                <w:color w:val="auto"/>
                <w:highlight w:val="none"/>
                <w:shd w:val="clear" w:color="auto" w:fill="auto"/>
                <w:lang w:val="en-US" w:eastAsia="zh-CN"/>
              </w:rPr>
              <w:t>EO</w:t>
            </w:r>
            <w:r>
              <w:rPr>
                <w:rFonts w:hint="eastAsia"/>
                <w:color w:val="auto"/>
                <w:highlight w:val="none"/>
                <w:shd w:val="clear" w:color="auto" w:fill="auto"/>
              </w:rPr>
              <w:t xml:space="preserve">7.3  </w:t>
            </w:r>
          </w:p>
        </w:tc>
        <w:tc>
          <w:tcPr>
            <w:tcW w:w="744" w:type="dxa"/>
            <w:shd w:val="clear" w:color="auto" w:fill="auto"/>
            <w:vAlign w:val="top"/>
          </w:tcPr>
          <w:p>
            <w:pPr>
              <w:rPr>
                <w:rFonts w:hint="default"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文件名称</w:t>
            </w:r>
          </w:p>
        </w:tc>
        <w:tc>
          <w:tcPr>
            <w:tcW w:w="9269" w:type="dxa"/>
            <w:shd w:val="clear" w:color="auto" w:fill="auto"/>
            <w:vAlign w:val="top"/>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w:t>
            </w:r>
            <w:r>
              <w:rPr>
                <w:rFonts w:hint="eastAsia" w:ascii="宋体" w:hAnsi="宋体"/>
                <w:bCs/>
                <w:color w:val="auto"/>
                <w:spacing w:val="-20"/>
                <w:szCs w:val="21"/>
                <w:highlight w:val="none"/>
                <w:shd w:val="clear" w:color="auto" w:fill="auto"/>
              </w:rPr>
              <w:t>人力资源管理控制程序</w:t>
            </w:r>
            <w:r>
              <w:rPr>
                <w:rFonts w:hint="eastAsia"/>
                <w:color w:val="auto"/>
                <w:highlight w:val="none"/>
                <w:shd w:val="clear" w:color="auto" w:fill="auto"/>
                <w:lang w:val="en-US" w:eastAsia="zh-CN"/>
              </w:rPr>
              <w:t>》</w:t>
            </w:r>
          </w:p>
          <w:p>
            <w:pPr>
              <w:rPr>
                <w:rFonts w:ascii="Times New Roman" w:hAnsi="Times New Roman" w:eastAsia="宋体" w:cs="Times New Roman"/>
                <w:color w:val="auto"/>
                <w:kern w:val="2"/>
                <w:sz w:val="21"/>
                <w:highlight w:val="none"/>
                <w:shd w:val="clear" w:color="auto" w:fill="auto"/>
                <w:lang w:val="en-US" w:eastAsia="zh-CN" w:bidi="ar-SA"/>
              </w:rPr>
            </w:pP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820" w:hRule="atLeast"/>
        </w:trPr>
        <w:tc>
          <w:tcPr>
            <w:tcW w:w="2154" w:type="dxa"/>
            <w:vMerge w:val="continue"/>
            <w:shd w:val="clear" w:color="auto" w:fill="auto"/>
          </w:tcPr>
          <w:p>
            <w:pPr>
              <w:rPr>
                <w:color w:val="auto"/>
                <w:highlight w:val="none"/>
                <w:shd w:val="clear" w:color="auto" w:fill="auto"/>
              </w:rPr>
            </w:pPr>
          </w:p>
        </w:tc>
        <w:tc>
          <w:tcPr>
            <w:tcW w:w="960" w:type="dxa"/>
            <w:vMerge w:val="continue"/>
            <w:shd w:val="clear" w:color="auto" w:fill="auto"/>
          </w:tcPr>
          <w:p>
            <w:pPr>
              <w:rPr>
                <w:color w:val="auto"/>
                <w:highlight w:val="none"/>
                <w:shd w:val="clear" w:color="auto" w:fill="auto"/>
              </w:rPr>
            </w:pPr>
          </w:p>
        </w:tc>
        <w:tc>
          <w:tcPr>
            <w:tcW w:w="744" w:type="dxa"/>
            <w:shd w:val="clear" w:color="auto" w:fill="auto"/>
            <w:vAlign w:val="top"/>
          </w:tcPr>
          <w:p>
            <w:pPr>
              <w:rPr>
                <w:rFonts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highlight w:val="none"/>
                <w:shd w:val="clear" w:color="auto" w:fill="auto"/>
              </w:rPr>
            </w:pPr>
            <w:r>
              <w:rPr>
                <w:rFonts w:hint="eastAsia"/>
                <w:color w:val="auto"/>
                <w:highlight w:val="none"/>
                <w:shd w:val="clear" w:color="auto" w:fill="auto"/>
              </w:rPr>
              <w:t>组织工作人员</w:t>
            </w:r>
            <w:r>
              <w:rPr>
                <w:rFonts w:hint="eastAsia"/>
                <w:color w:val="auto"/>
                <w:highlight w:val="none"/>
                <w:shd w:val="clear" w:color="auto" w:fill="auto"/>
                <w:lang w:val="en-US" w:eastAsia="zh-CN"/>
              </w:rPr>
              <w:t>提高环保意识的方式</w:t>
            </w:r>
            <w:r>
              <w:rPr>
                <w:rFonts w:hint="eastAsia"/>
                <w:color w:val="auto"/>
                <w:highlight w:val="none"/>
                <w:shd w:val="clear" w:color="auto" w:fill="auto"/>
              </w:rPr>
              <w:t xml:space="preserve">： </w:t>
            </w:r>
          </w:p>
          <w:p>
            <w:pPr>
              <w:rPr>
                <w:rFonts w:hint="eastAsia"/>
                <w:color w:val="auto"/>
                <w:highlight w:val="none"/>
                <w:shd w:val="clear" w:color="auto" w:fill="auto"/>
              </w:rPr>
            </w:pPr>
          </w:p>
          <w:tbl>
            <w:tblPr>
              <w:tblStyle w:val="7"/>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4"/>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tcPr>
                <w:p>
                  <w:pP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需要让员工知晓的内容</w:t>
                  </w:r>
                </w:p>
              </w:tc>
              <w:tc>
                <w:tcPr>
                  <w:tcW w:w="4050" w:type="dxa"/>
                </w:tcPr>
                <w:p>
                  <w:pPr>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tcPr>
                <w:p>
                  <w:pPr>
                    <w:rPr>
                      <w:rFonts w:hint="eastAsia"/>
                      <w:color w:val="auto"/>
                      <w:highlight w:val="none"/>
                      <w:shd w:val="clear" w:color="auto" w:fill="auto"/>
                      <w:vertAlign w:val="baseline"/>
                    </w:rPr>
                  </w:pPr>
                  <w:r>
                    <w:rPr>
                      <w:rFonts w:hint="eastAsia"/>
                      <w:color w:val="auto"/>
                      <w:highlight w:val="none"/>
                      <w:shd w:val="clear" w:color="auto" w:fill="auto"/>
                      <w:lang w:val="en-US" w:eastAsia="zh-CN"/>
                    </w:rPr>
                    <w:t>环境和职业健康</w:t>
                  </w:r>
                  <w:r>
                    <w:rPr>
                      <w:rFonts w:hint="eastAsia"/>
                      <w:color w:val="auto"/>
                      <w:highlight w:val="none"/>
                      <w:shd w:val="clear" w:color="auto" w:fill="auto"/>
                    </w:rPr>
                    <w:t>方针</w:t>
                  </w:r>
                </w:p>
              </w:tc>
              <w:tc>
                <w:tcPr>
                  <w:tcW w:w="4050" w:type="dxa"/>
                </w:tcPr>
                <w:p>
                  <w:pPr>
                    <w:rPr>
                      <w:rFonts w:hint="default" w:eastAsia="宋体"/>
                      <w:color w:val="auto"/>
                      <w:highlight w:val="none"/>
                      <w:shd w:val="clear" w:color="auto" w:fill="auto"/>
                      <w:vertAlign w:val="baseline"/>
                      <w:lang w:val="en-US" w:eastAsia="zh-CN"/>
                    </w:rPr>
                  </w:pP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会议</w:t>
                  </w:r>
                  <w:r>
                    <w:rPr>
                      <w:rFonts w:hint="eastAsia"/>
                      <w:color w:val="auto"/>
                      <w:highlight w:val="none"/>
                      <w:shd w:val="clear" w:color="auto" w:fill="auto"/>
                    </w:rPr>
                    <w:t xml:space="preserve">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展板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标语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培训</w:t>
                  </w:r>
                  <w:r>
                    <w:rPr>
                      <w:rFonts w:hint="eastAsia"/>
                      <w:color w:val="auto"/>
                      <w:highlight w:val="none"/>
                      <w:shd w:val="clear" w:color="auto" w:fill="auto"/>
                      <w:lang w:val="en-US" w:eastAsia="zh-CN"/>
                    </w:rPr>
                    <w:t xml:space="preserve">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tcPr>
                <w:p>
                  <w:pPr>
                    <w:rPr>
                      <w:rFonts w:hint="eastAsia"/>
                      <w:color w:val="auto"/>
                      <w:highlight w:val="none"/>
                      <w:shd w:val="clear" w:color="auto" w:fill="auto"/>
                      <w:vertAlign w:val="baseline"/>
                    </w:rPr>
                  </w:pPr>
                  <w:r>
                    <w:rPr>
                      <w:rFonts w:hint="eastAsia"/>
                      <w:color w:val="auto"/>
                      <w:highlight w:val="none"/>
                      <w:shd w:val="clear" w:color="auto" w:fill="auto"/>
                    </w:rPr>
                    <w:t>与他们的工作相关的重要</w:t>
                  </w:r>
                  <w:r>
                    <w:rPr>
                      <w:rFonts w:hint="eastAsia"/>
                      <w:color w:val="auto"/>
                      <w:highlight w:val="none"/>
                      <w:shd w:val="clear" w:color="auto" w:fill="auto"/>
                      <w:lang w:eastAsia="zh-CN"/>
                    </w:rPr>
                    <w:t>环境和职业健康</w:t>
                  </w:r>
                  <w:r>
                    <w:rPr>
                      <w:rFonts w:hint="eastAsia"/>
                      <w:color w:val="auto"/>
                      <w:highlight w:val="none"/>
                      <w:shd w:val="clear" w:color="auto" w:fill="auto"/>
                    </w:rPr>
                    <w:t>因素和相关的实际或潜在的</w:t>
                  </w:r>
                  <w:r>
                    <w:rPr>
                      <w:rFonts w:hint="eastAsia"/>
                      <w:color w:val="auto"/>
                      <w:highlight w:val="none"/>
                      <w:shd w:val="clear" w:color="auto" w:fill="auto"/>
                      <w:lang w:eastAsia="zh-CN"/>
                    </w:rPr>
                    <w:t>环境和职业健康</w:t>
                  </w:r>
                  <w:r>
                    <w:rPr>
                      <w:rFonts w:hint="eastAsia"/>
                      <w:color w:val="auto"/>
                      <w:highlight w:val="none"/>
                      <w:shd w:val="clear" w:color="auto" w:fill="auto"/>
                    </w:rPr>
                    <w:t>影响</w:t>
                  </w:r>
                </w:p>
              </w:tc>
              <w:tc>
                <w:tcPr>
                  <w:tcW w:w="4050"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会议</w:t>
                  </w:r>
                  <w:r>
                    <w:rPr>
                      <w:rFonts w:hint="eastAsia"/>
                      <w:color w:val="auto"/>
                      <w:highlight w:val="none"/>
                      <w:shd w:val="clear" w:color="auto" w:fill="auto"/>
                    </w:rPr>
                    <w:t xml:space="preserve">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展板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标语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培训</w:t>
                  </w:r>
                  <w:r>
                    <w:rPr>
                      <w:rFonts w:hint="eastAsia"/>
                      <w:color w:val="auto"/>
                      <w:highlight w:val="none"/>
                      <w:shd w:val="clear" w:color="auto" w:fill="auto"/>
                      <w:lang w:val="en-US" w:eastAsia="zh-CN"/>
                    </w:rPr>
                    <w:t xml:space="preserve">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其他</w:t>
                  </w:r>
                  <w:r>
                    <w:rPr>
                      <w:rFonts w:hint="eastAsia"/>
                      <w:color w:val="auto"/>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tcPr>
                <w:p>
                  <w:pPr>
                    <w:rPr>
                      <w:rFonts w:hint="eastAsia"/>
                      <w:color w:val="auto"/>
                      <w:highlight w:val="none"/>
                      <w:shd w:val="clear" w:color="auto" w:fill="auto"/>
                      <w:vertAlign w:val="baseline"/>
                    </w:rPr>
                  </w:pPr>
                  <w:r>
                    <w:rPr>
                      <w:rFonts w:hint="eastAsia"/>
                      <w:color w:val="auto"/>
                      <w:highlight w:val="none"/>
                      <w:shd w:val="clear" w:color="auto" w:fill="auto"/>
                    </w:rPr>
                    <w:t>对</w:t>
                  </w:r>
                  <w:r>
                    <w:rPr>
                      <w:rFonts w:hint="eastAsia"/>
                      <w:color w:val="auto"/>
                      <w:highlight w:val="none"/>
                      <w:shd w:val="clear" w:color="auto" w:fill="auto"/>
                      <w:lang w:val="en-US" w:eastAsia="zh-CN"/>
                    </w:rPr>
                    <w:t>环境和职业健康</w:t>
                  </w:r>
                  <w:r>
                    <w:rPr>
                      <w:rFonts w:hint="eastAsia"/>
                      <w:color w:val="auto"/>
                      <w:highlight w:val="none"/>
                      <w:shd w:val="clear" w:color="auto" w:fill="auto"/>
                    </w:rPr>
                    <w:t>管理体系有效性的贡献，包括</w:t>
                  </w:r>
                  <w:r>
                    <w:rPr>
                      <w:rFonts w:hint="eastAsia"/>
                      <w:color w:val="auto"/>
                      <w:highlight w:val="none"/>
                      <w:shd w:val="clear" w:color="auto" w:fill="auto"/>
                      <w:lang w:val="en-US" w:eastAsia="zh-CN"/>
                    </w:rPr>
                    <w:t>提升环境和职业健康</w:t>
                  </w:r>
                  <w:r>
                    <w:rPr>
                      <w:rFonts w:hint="eastAsia"/>
                      <w:color w:val="auto"/>
                      <w:highlight w:val="none"/>
                      <w:shd w:val="clear" w:color="auto" w:fill="auto"/>
                    </w:rPr>
                    <w:t>绩效的</w:t>
                  </w:r>
                  <w:r>
                    <w:rPr>
                      <w:rFonts w:hint="eastAsia"/>
                      <w:color w:val="auto"/>
                      <w:highlight w:val="none"/>
                      <w:shd w:val="clear" w:color="auto" w:fill="auto"/>
                      <w:lang w:val="en-US" w:eastAsia="zh-CN"/>
                    </w:rPr>
                    <w:t>贡献</w:t>
                  </w:r>
                  <w:r>
                    <w:rPr>
                      <w:rFonts w:hint="eastAsia"/>
                      <w:color w:val="auto"/>
                      <w:highlight w:val="none"/>
                      <w:shd w:val="clear" w:color="auto" w:fill="auto"/>
                    </w:rPr>
                    <w:t>；</w:t>
                  </w:r>
                </w:p>
              </w:tc>
              <w:tc>
                <w:tcPr>
                  <w:tcW w:w="4050"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会议</w:t>
                  </w:r>
                  <w:r>
                    <w:rPr>
                      <w:rFonts w:hint="eastAsia"/>
                      <w:color w:val="auto"/>
                      <w:highlight w:val="none"/>
                      <w:shd w:val="clear" w:color="auto" w:fill="auto"/>
                    </w:rPr>
                    <w:t xml:space="preserve">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展板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标语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培训</w:t>
                  </w:r>
                  <w:r>
                    <w:rPr>
                      <w:rFonts w:hint="eastAsia"/>
                      <w:color w:val="auto"/>
                      <w:highlight w:val="none"/>
                      <w:shd w:val="clear" w:color="auto" w:fill="auto"/>
                      <w:lang w:val="en-US" w:eastAsia="zh-CN"/>
                    </w:rPr>
                    <w:t xml:space="preserve">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其他</w:t>
                  </w:r>
                  <w:r>
                    <w:rPr>
                      <w:rFonts w:hint="eastAsia"/>
                      <w:color w:val="auto"/>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tcPr>
                <w:p>
                  <w:pPr>
                    <w:rPr>
                      <w:rFonts w:hint="eastAsia"/>
                      <w:color w:val="auto"/>
                      <w:highlight w:val="none"/>
                      <w:shd w:val="clear" w:color="auto" w:fill="auto"/>
                      <w:vertAlign w:val="baseline"/>
                    </w:rPr>
                  </w:pPr>
                  <w:r>
                    <w:rPr>
                      <w:rFonts w:hint="eastAsia"/>
                      <w:color w:val="auto"/>
                      <w:highlight w:val="none"/>
                      <w:shd w:val="clear" w:color="auto" w:fill="auto"/>
                    </w:rPr>
                    <w:t>不符合</w:t>
                  </w:r>
                  <w:r>
                    <w:rPr>
                      <w:rFonts w:hint="eastAsia"/>
                      <w:color w:val="auto"/>
                      <w:highlight w:val="none"/>
                      <w:shd w:val="clear" w:color="auto" w:fill="auto"/>
                      <w:lang w:val="en-US" w:eastAsia="zh-CN"/>
                    </w:rPr>
                    <w:t>环境和职业健康</w:t>
                  </w:r>
                  <w:r>
                    <w:rPr>
                      <w:rFonts w:hint="eastAsia"/>
                      <w:color w:val="auto"/>
                      <w:highlight w:val="none"/>
                      <w:shd w:val="clear" w:color="auto" w:fill="auto"/>
                    </w:rPr>
                    <w:t>管理体系要求</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包括未履行组织合规义务</w:t>
                  </w:r>
                  <w:r>
                    <w:rPr>
                      <w:rFonts w:hint="eastAsia"/>
                      <w:color w:val="auto"/>
                      <w:highlight w:val="none"/>
                      <w:shd w:val="clear" w:color="auto" w:fill="auto"/>
                    </w:rPr>
                    <w:t>的后果</w:t>
                  </w:r>
                </w:p>
              </w:tc>
              <w:tc>
                <w:tcPr>
                  <w:tcW w:w="4050"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会议</w:t>
                  </w:r>
                  <w:r>
                    <w:rPr>
                      <w:rFonts w:hint="eastAsia"/>
                      <w:color w:val="auto"/>
                      <w:highlight w:val="none"/>
                      <w:shd w:val="clear" w:color="auto" w:fill="auto"/>
                    </w:rPr>
                    <w:t xml:space="preserve">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展板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标语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培训</w:t>
                  </w:r>
                  <w:r>
                    <w:rPr>
                      <w:rFonts w:hint="eastAsia"/>
                      <w:color w:val="auto"/>
                      <w:highlight w:val="none"/>
                      <w:shd w:val="clear" w:color="auto" w:fill="auto"/>
                      <w:lang w:val="en-US" w:eastAsia="zh-CN"/>
                    </w:rPr>
                    <w:t xml:space="preserve">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其他</w:t>
                  </w:r>
                  <w:r>
                    <w:rPr>
                      <w:rFonts w:hint="eastAsia"/>
                      <w:color w:val="auto"/>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top"/>
                </w:tcPr>
                <w:p>
                  <w:pPr>
                    <w:rPr>
                      <w:rFonts w:hint="eastAsia"/>
                      <w:color w:val="auto"/>
                      <w:highlight w:val="none"/>
                      <w:shd w:val="clear" w:color="auto" w:fill="auto"/>
                    </w:rPr>
                  </w:pPr>
                  <w:r>
                    <w:rPr>
                      <w:rFonts w:hint="eastAsia"/>
                      <w:color w:val="auto"/>
                      <w:highlight w:val="none"/>
                      <w:shd w:val="clear" w:color="auto" w:fill="auto"/>
                    </w:rPr>
                    <w:t>与其相关的危险源、职业健康安全风险和所确定的措施</w:t>
                  </w:r>
                </w:p>
              </w:tc>
              <w:tc>
                <w:tcPr>
                  <w:tcW w:w="4050" w:type="dxa"/>
                  <w:vAlign w:val="top"/>
                </w:tcPr>
                <w:p>
                  <w:pPr>
                    <w:rPr>
                      <w:rFonts w:hint="eastAsia" w:ascii="Calibri" w:hAnsi="Calibri"/>
                      <w:color w:val="auto"/>
                      <w:highlight w:val="none"/>
                      <w:shd w:val="clear" w:color="auto" w:fill="auto"/>
                      <w:lang w:eastAsia="zh-CN"/>
                    </w:rPr>
                  </w:pP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会议</w:t>
                  </w:r>
                  <w:r>
                    <w:rPr>
                      <w:rFonts w:hint="eastAsia"/>
                      <w:color w:val="auto"/>
                      <w:highlight w:val="none"/>
                      <w:shd w:val="clear" w:color="auto" w:fill="auto"/>
                    </w:rPr>
                    <w:t xml:space="preserve">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展板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标语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培训</w:t>
                  </w:r>
                  <w:r>
                    <w:rPr>
                      <w:rFonts w:hint="eastAsia"/>
                      <w:color w:val="auto"/>
                      <w:highlight w:val="none"/>
                      <w:shd w:val="clear" w:color="auto" w:fill="auto"/>
                      <w:lang w:val="en-US" w:eastAsia="zh-CN"/>
                    </w:rPr>
                    <w:t xml:space="preserve">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其他</w:t>
                  </w:r>
                  <w:r>
                    <w:rPr>
                      <w:rFonts w:hint="eastAsia"/>
                      <w:color w:val="auto"/>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4" w:type="dxa"/>
                  <w:vAlign w:val="top"/>
                </w:tcPr>
                <w:p>
                  <w:pPr>
                    <w:rPr>
                      <w:rFonts w:hint="eastAsia"/>
                      <w:color w:val="auto"/>
                      <w:highlight w:val="none"/>
                      <w:shd w:val="clear" w:color="auto" w:fill="auto"/>
                    </w:rPr>
                  </w:pPr>
                  <w:r>
                    <w:rPr>
                      <w:rFonts w:hint="eastAsia"/>
                      <w:color w:val="auto"/>
                      <w:highlight w:val="none"/>
                      <w:shd w:val="clear" w:color="auto" w:fill="auto"/>
                    </w:rPr>
                    <w:t>从其所认为的存在急迫且严重</w:t>
                  </w:r>
                  <w:r>
                    <w:rPr>
                      <w:color w:val="auto"/>
                      <w:highlight w:val="none"/>
                      <w:shd w:val="clear" w:color="auto" w:fill="auto"/>
                    </w:rPr>
                    <w:t>危</w:t>
                  </w:r>
                  <w:r>
                    <w:rPr>
                      <w:rFonts w:hint="eastAsia"/>
                      <w:color w:val="auto"/>
                      <w:highlight w:val="none"/>
                      <w:shd w:val="clear" w:color="auto" w:fill="auto"/>
                    </w:rPr>
                    <w:t>及其生命或健康的工作状况中逃离的能力，以及为保护其免遭由此而产生的不当后果所做出的安排</w:t>
                  </w:r>
                </w:p>
              </w:tc>
              <w:tc>
                <w:tcPr>
                  <w:tcW w:w="4050" w:type="dxa"/>
                  <w:vAlign w:val="top"/>
                </w:tcPr>
                <w:p>
                  <w:pPr>
                    <w:rPr>
                      <w:rFonts w:hint="eastAsia" w:ascii="Calibri" w:hAnsi="Calibri"/>
                      <w:color w:val="auto"/>
                      <w:highlight w:val="none"/>
                      <w:shd w:val="clear" w:color="auto" w:fill="auto"/>
                      <w:lang w:eastAsia="zh-CN"/>
                    </w:rPr>
                  </w:pP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会议</w:t>
                  </w:r>
                  <w:r>
                    <w:rPr>
                      <w:rFonts w:hint="eastAsia"/>
                      <w:color w:val="auto"/>
                      <w:highlight w:val="none"/>
                      <w:shd w:val="clear" w:color="auto" w:fill="auto"/>
                    </w:rPr>
                    <w:t xml:space="preserve">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展板 </w:t>
                  </w:r>
                  <w:r>
                    <w:rPr>
                      <w:rFonts w:hint="eastAsia" w:ascii="Calibri" w:hAnsi="Calibri"/>
                      <w:color w:val="auto"/>
                      <w:highlight w:val="none"/>
                      <w:shd w:val="clear" w:color="auto" w:fill="auto"/>
                      <w:lang w:eastAsia="zh-CN"/>
                    </w:rPr>
                    <w:t>□</w:t>
                  </w:r>
                  <w:r>
                    <w:rPr>
                      <w:rFonts w:hint="eastAsia"/>
                      <w:color w:val="auto"/>
                      <w:highlight w:val="none"/>
                      <w:shd w:val="clear" w:color="auto" w:fill="auto"/>
                      <w:lang w:val="en-US" w:eastAsia="zh-CN"/>
                    </w:rPr>
                    <w:t xml:space="preserve">标语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培训</w:t>
                  </w:r>
                  <w:r>
                    <w:rPr>
                      <w:rFonts w:hint="eastAsia"/>
                      <w:color w:val="auto"/>
                      <w:highlight w:val="none"/>
                      <w:shd w:val="clear" w:color="auto" w:fill="auto"/>
                      <w:lang w:val="en-US" w:eastAsia="zh-CN"/>
                    </w:rPr>
                    <w:t xml:space="preserve"> </w:t>
                  </w:r>
                  <w:r>
                    <w:rPr>
                      <w:rFonts w:hint="eastAsia" w:ascii="Calibri" w:hAnsi="Calibri"/>
                      <w:color w:val="auto"/>
                      <w:highlight w:val="none"/>
                      <w:shd w:val="clear" w:color="auto" w:fill="auto"/>
                      <w:lang w:eastAsia="zh-CN"/>
                    </w:rPr>
                    <w:t>□</w:t>
                  </w:r>
                  <w:r>
                    <w:rPr>
                      <w:rFonts w:hint="eastAsia" w:ascii="Calibri" w:hAnsi="Calibri"/>
                      <w:color w:val="auto"/>
                      <w:highlight w:val="none"/>
                      <w:shd w:val="clear" w:color="auto" w:fill="auto"/>
                      <w:lang w:val="en-US" w:eastAsia="zh-CN"/>
                    </w:rPr>
                    <w:t>其他</w:t>
                  </w:r>
                  <w:r>
                    <w:rPr>
                      <w:rFonts w:hint="eastAsia"/>
                      <w:color w:val="auto"/>
                      <w:highlight w:val="none"/>
                      <w:shd w:val="clear" w:color="auto" w:fill="auto"/>
                      <w:lang w:val="en-US" w:eastAsia="zh-CN"/>
                    </w:rPr>
                    <w:t xml:space="preserve"> </w:t>
                  </w:r>
                </w:p>
              </w:tc>
            </w:tr>
          </w:tbl>
          <w:p>
            <w:pPr>
              <w:rPr>
                <w:color w:val="auto"/>
                <w:highlight w:val="none"/>
                <w:shd w:val="clear" w:color="auto" w:fill="auto"/>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680" w:hRule="atLeast"/>
        </w:trPr>
        <w:tc>
          <w:tcPr>
            <w:tcW w:w="2154" w:type="dxa"/>
            <w:vMerge w:val="restart"/>
            <w:shd w:val="clear" w:color="auto" w:fill="auto"/>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管理评审</w:t>
            </w:r>
          </w:p>
          <w:p>
            <w:pPr>
              <w:rPr>
                <w:rFonts w:hint="eastAsia" w:eastAsia="宋体"/>
                <w:color w:val="auto"/>
                <w:szCs w:val="21"/>
                <w:highlight w:val="none"/>
                <w:shd w:val="clear" w:color="auto" w:fill="auto"/>
                <w:lang w:val="en-US" w:eastAsia="zh-CN"/>
              </w:rPr>
            </w:pPr>
          </w:p>
        </w:tc>
        <w:tc>
          <w:tcPr>
            <w:tcW w:w="960" w:type="dxa"/>
            <w:vMerge w:val="restart"/>
            <w:shd w:val="clear" w:color="auto" w:fill="auto"/>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EO9.3</w:t>
            </w:r>
          </w:p>
        </w:tc>
        <w:tc>
          <w:tcPr>
            <w:tcW w:w="744" w:type="dxa"/>
            <w:shd w:val="clear" w:color="auto" w:fill="auto"/>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文件名称</w:t>
            </w:r>
          </w:p>
        </w:tc>
        <w:tc>
          <w:tcPr>
            <w:tcW w:w="9269" w:type="dxa"/>
            <w:shd w:val="clear" w:color="auto" w:fill="auto"/>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如：《管理评审控制程序》</w:t>
            </w:r>
          </w:p>
        </w:tc>
        <w:tc>
          <w:tcPr>
            <w:tcW w:w="1582" w:type="dxa"/>
            <w:vMerge w:val="restart"/>
            <w:shd w:val="clear" w:color="auto" w:fill="auto"/>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sym w:font="Wingdings" w:char="00FE"/>
            </w:r>
            <w:r>
              <w:rPr>
                <w:rFonts w:hint="eastAsia" w:eastAsia="宋体"/>
                <w:color w:val="auto"/>
                <w:szCs w:val="21"/>
                <w:highlight w:val="none"/>
                <w:shd w:val="clear" w:color="auto" w:fill="auto"/>
                <w:lang w:val="en-US" w:eastAsia="zh-CN"/>
              </w:rPr>
              <w:t>符合</w:t>
            </w:r>
          </w:p>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sym w:font="Wingdings" w:char="00A8"/>
            </w:r>
            <w:r>
              <w:rPr>
                <w:rFonts w:hint="eastAsia" w:eastAsia="宋体"/>
                <w:color w:val="auto"/>
                <w:szCs w:val="21"/>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88" w:hRule="atLeast"/>
        </w:trPr>
        <w:tc>
          <w:tcPr>
            <w:tcW w:w="2154" w:type="dxa"/>
            <w:vMerge w:val="continue"/>
            <w:shd w:val="clear" w:color="auto" w:fill="auto"/>
          </w:tcPr>
          <w:p>
            <w:pPr>
              <w:rPr>
                <w:rFonts w:hint="default" w:eastAsia="宋体"/>
                <w:color w:val="auto"/>
                <w:szCs w:val="21"/>
                <w:highlight w:val="none"/>
                <w:shd w:val="clear" w:color="auto" w:fill="auto"/>
                <w:lang w:val="en-US" w:eastAsia="zh-CN"/>
              </w:rPr>
            </w:pPr>
          </w:p>
        </w:tc>
        <w:tc>
          <w:tcPr>
            <w:tcW w:w="960" w:type="dxa"/>
            <w:vMerge w:val="continue"/>
            <w:shd w:val="clear" w:color="auto" w:fill="auto"/>
          </w:tcPr>
          <w:p>
            <w:pPr>
              <w:rPr>
                <w:rFonts w:hint="eastAsia" w:eastAsia="宋体"/>
                <w:color w:val="auto"/>
                <w:szCs w:val="21"/>
                <w:highlight w:val="none"/>
                <w:shd w:val="clear" w:color="auto" w:fill="auto"/>
                <w:lang w:val="en-US" w:eastAsia="zh-CN"/>
              </w:rPr>
            </w:pPr>
          </w:p>
        </w:tc>
        <w:tc>
          <w:tcPr>
            <w:tcW w:w="744" w:type="dxa"/>
            <w:shd w:val="clear" w:color="auto" w:fill="auto"/>
          </w:tcPr>
          <w:p>
            <w:pPr>
              <w:rPr>
                <w:rFonts w:hint="eastAsia" w:eastAsia="宋体"/>
                <w:color w:val="auto"/>
                <w:szCs w:val="21"/>
                <w:highlight w:val="none"/>
                <w:shd w:val="clear" w:color="auto" w:fill="auto"/>
                <w:lang w:val="en-US" w:eastAsia="zh-CN"/>
              </w:rPr>
            </w:pPr>
          </w:p>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运行证据</w:t>
            </w:r>
          </w:p>
        </w:tc>
        <w:tc>
          <w:tcPr>
            <w:tcW w:w="9269" w:type="dxa"/>
            <w:shd w:val="clear" w:color="auto" w:fill="auto"/>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自</w:t>
            </w:r>
            <w:r>
              <w:rPr>
                <w:rFonts w:hint="default" w:eastAsia="宋体"/>
                <w:color w:val="auto"/>
                <w:szCs w:val="21"/>
                <w:highlight w:val="none"/>
                <w:shd w:val="clear" w:color="auto" w:fill="auto"/>
                <w:lang w:val="en-US" w:eastAsia="zh-CN"/>
              </w:rPr>
              <w:sym w:font="Wingdings" w:char="00A8"/>
            </w:r>
            <w:r>
              <w:rPr>
                <w:rFonts w:hint="eastAsia" w:eastAsia="宋体"/>
                <w:color w:val="auto"/>
                <w:szCs w:val="21"/>
                <w:highlight w:val="none"/>
                <w:shd w:val="clear" w:color="auto" w:fill="auto"/>
                <w:lang w:val="en-US" w:eastAsia="zh-CN"/>
              </w:rPr>
              <w:t>管理体系建立后/</w:t>
            </w:r>
            <w:r>
              <w:rPr>
                <w:rFonts w:hint="default" w:eastAsia="宋体"/>
                <w:color w:val="auto"/>
                <w:szCs w:val="21"/>
                <w:highlight w:val="none"/>
                <w:shd w:val="clear" w:color="auto" w:fill="auto"/>
                <w:lang w:val="en-US" w:eastAsia="zh-CN"/>
              </w:rPr>
              <w:sym w:font="Wingdings" w:char="00FE"/>
            </w:r>
            <w:r>
              <w:rPr>
                <w:rFonts w:hint="eastAsia" w:eastAsia="宋体"/>
                <w:color w:val="auto"/>
                <w:szCs w:val="21"/>
                <w:highlight w:val="none"/>
                <w:shd w:val="clear" w:color="auto" w:fill="auto"/>
                <w:lang w:val="en-US" w:eastAsia="zh-CN"/>
              </w:rPr>
              <w:t xml:space="preserve">近一年，于2020 年 </w:t>
            </w:r>
            <w:r>
              <w:rPr>
                <w:rFonts w:hint="eastAsia"/>
                <w:color w:val="auto"/>
                <w:szCs w:val="21"/>
                <w:highlight w:val="none"/>
                <w:shd w:val="clear" w:color="auto" w:fill="auto"/>
                <w:lang w:val="en-US" w:eastAsia="zh-CN"/>
              </w:rPr>
              <w:t>8</w:t>
            </w:r>
            <w:r>
              <w:rPr>
                <w:rFonts w:hint="eastAsia" w:eastAsia="宋体"/>
                <w:color w:val="auto"/>
                <w:szCs w:val="21"/>
                <w:highlight w:val="none"/>
                <w:shd w:val="clear" w:color="auto" w:fill="auto"/>
                <w:lang w:val="en-US" w:eastAsia="zh-CN"/>
              </w:rPr>
              <w:t>月</w:t>
            </w:r>
            <w:r>
              <w:rPr>
                <w:rFonts w:hint="eastAsia"/>
                <w:color w:val="auto"/>
                <w:szCs w:val="21"/>
                <w:highlight w:val="none"/>
                <w:shd w:val="clear" w:color="auto" w:fill="auto"/>
                <w:lang w:val="en-US" w:eastAsia="zh-CN"/>
              </w:rPr>
              <w:t>26</w:t>
            </w:r>
            <w:r>
              <w:rPr>
                <w:rFonts w:hint="eastAsia" w:eastAsia="宋体"/>
                <w:color w:val="auto"/>
                <w:szCs w:val="21"/>
                <w:highlight w:val="none"/>
                <w:shd w:val="clear" w:color="auto" w:fill="auto"/>
                <w:lang w:val="en-US" w:eastAsia="zh-CN"/>
              </w:rPr>
              <w:t>日实施了管理评审；</w:t>
            </w:r>
          </w:p>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查看☑管理评审计划  ☑管理评审记录（工作总结）  ☑管理评审纪要  ☑管理评审报告</w:t>
            </w:r>
          </w:p>
          <w:p>
            <w:pPr>
              <w:rPr>
                <w:rFonts w:hint="eastAsia" w:eastAsia="宋体"/>
                <w:color w:val="auto"/>
                <w:szCs w:val="21"/>
                <w:highlight w:val="none"/>
                <w:shd w:val="clear" w:color="auto" w:fill="auto"/>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管理评审输入信息</w:t>
                  </w:r>
                </w:p>
              </w:tc>
              <w:tc>
                <w:tcPr>
                  <w:tcW w:w="1869"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评价</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以往管理评审所采取措施的情况；</w:t>
                  </w:r>
                </w:p>
              </w:tc>
              <w:tc>
                <w:tcPr>
                  <w:tcW w:w="1869"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与环境和职业健康管理体系相关的内外部问题的变化；</w:t>
                  </w:r>
                </w:p>
              </w:tc>
              <w:tc>
                <w:tcPr>
                  <w:tcW w:w="1869"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相关方的需求和期望（包括合规义务）的变化</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主管部门</w:t>
                  </w:r>
                  <w:r>
                    <w:rPr>
                      <w:rFonts w:hint="default" w:eastAsia="宋体"/>
                      <w:color w:val="auto"/>
                      <w:szCs w:val="21"/>
                      <w:highlight w:val="none"/>
                      <w:shd w:val="clear" w:color="auto" w:fill="auto"/>
                      <w:lang w:val="en-US" w:eastAsia="zh-CN"/>
                    </w:rPr>
                    <w:t>日趋严峻的</w:t>
                  </w:r>
                  <w:r>
                    <w:rPr>
                      <w:rFonts w:hint="eastAsia" w:eastAsia="宋体"/>
                      <w:color w:val="auto"/>
                      <w:szCs w:val="21"/>
                      <w:highlight w:val="none"/>
                      <w:shd w:val="clear" w:color="auto" w:fill="auto"/>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重要环境因素和不可接受风险的变化</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风险和机遇的变化</w:t>
                  </w:r>
                </w:p>
              </w:tc>
              <w:tc>
                <w:tcPr>
                  <w:tcW w:w="1869"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环境和职业健康目标的实现程度</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总环境和职业健康目标已完成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不符合及纠正措施及趋势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20</w:t>
                  </w:r>
                  <w:r>
                    <w:rPr>
                      <w:rFonts w:hint="eastAsia" w:eastAsia="宋体"/>
                      <w:color w:val="auto"/>
                      <w:szCs w:val="21"/>
                      <w:highlight w:val="none"/>
                      <w:shd w:val="clear" w:color="auto" w:fill="auto"/>
                      <w:lang w:val="en-US" w:eastAsia="zh-CN"/>
                    </w:rPr>
                    <w:t>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监视和测量结果及趋势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20</w:t>
                  </w:r>
                  <w:r>
                    <w:rPr>
                      <w:rFonts w:hint="eastAsia" w:eastAsia="宋体"/>
                      <w:color w:val="auto"/>
                      <w:szCs w:val="21"/>
                      <w:highlight w:val="none"/>
                      <w:shd w:val="clear" w:color="auto" w:fill="auto"/>
                      <w:lang w:val="en-US" w:eastAsia="zh-CN"/>
                    </w:rPr>
                    <w:t>年环保监测达标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color w:val="auto"/>
                      <w:lang w:val="en-US" w:eastAsia="zh-CN"/>
                    </w:rPr>
                  </w:pPr>
                  <w:r>
                    <w:rPr>
                      <w:rFonts w:hint="eastAsia"/>
                      <w:color w:val="auto"/>
                      <w:lang w:val="en-US" w:eastAsia="zh-CN"/>
                    </w:rPr>
                    <w:t>合规义务的履行情况的趋势</w:t>
                  </w:r>
                </w:p>
                <w:p>
                  <w:pPr>
                    <w:pStyle w:val="2"/>
                    <w:rPr>
                      <w:rFonts w:hint="eastAsia"/>
                      <w:color w:val="auto"/>
                      <w:lang w:val="en-US" w:eastAsia="zh-CN"/>
                    </w:rPr>
                  </w:pPr>
                  <w:r>
                    <w:rPr>
                      <w:rFonts w:hint="eastAsia"/>
                      <w:color w:val="auto"/>
                      <w:highlight w:val="none"/>
                      <w:shd w:val="clear" w:color="auto" w:fill="auto"/>
                    </w:rPr>
                    <w:t>对法律法规要求和其他要求的合规性评价的结果</w:t>
                  </w:r>
                  <w:r>
                    <w:rPr>
                      <w:rFonts w:hint="eastAsia"/>
                      <w:color w:val="auto"/>
                      <w:highlight w:val="none"/>
                      <w:shd w:val="clear" w:color="auto" w:fill="auto"/>
                      <w:lang w:eastAsia="zh-CN"/>
                    </w:rPr>
                    <w:t>的趋势</w:t>
                  </w:r>
                </w:p>
              </w:tc>
              <w:tc>
                <w:tcPr>
                  <w:tcW w:w="1869"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20</w:t>
                  </w:r>
                  <w:r>
                    <w:rPr>
                      <w:rFonts w:hint="eastAsia" w:eastAsia="宋体"/>
                      <w:color w:val="auto"/>
                      <w:szCs w:val="21"/>
                      <w:highlight w:val="none"/>
                      <w:shd w:val="clear" w:color="auto" w:fill="auto"/>
                      <w:lang w:val="en-US" w:eastAsia="zh-CN"/>
                    </w:rPr>
                    <w:t>年无处罚、合规性评价无违规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内审、外部审核结果及趋势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资源的充分性；</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来自相关方的有关信息交流，包括抱怨</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20</w:t>
                  </w:r>
                  <w:r>
                    <w:rPr>
                      <w:rFonts w:hint="eastAsia"/>
                      <w:color w:val="auto"/>
                      <w:szCs w:val="21"/>
                      <w:highlight w:val="none"/>
                      <w:shd w:val="clear" w:color="auto" w:fill="auto"/>
                      <w:lang w:val="en-US" w:eastAsia="zh-CN"/>
                    </w:rPr>
                    <w:t>20</w:t>
                  </w:r>
                  <w:r>
                    <w:rPr>
                      <w:rFonts w:hint="eastAsia" w:eastAsia="宋体"/>
                      <w:color w:val="auto"/>
                      <w:szCs w:val="21"/>
                      <w:highlight w:val="none"/>
                      <w:shd w:val="clear" w:color="auto" w:fill="auto"/>
                      <w:lang w:val="en-US" w:eastAsia="zh-CN"/>
                    </w:rPr>
                    <w:t>年环保无投诉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改进的机会</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人员培训，加强环保和职业健康认知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rPr>
                      <w:rFonts w:hint="eastAsia" w:eastAsia="宋体"/>
                      <w:color w:val="auto"/>
                      <w:szCs w:val="21"/>
                      <w:highlight w:val="none"/>
                      <w:shd w:val="clear" w:color="auto" w:fill="auto"/>
                      <w:lang w:val="en-US" w:eastAsia="zh-CN"/>
                    </w:rPr>
                  </w:pPr>
                  <w:r>
                    <w:rPr>
                      <w:rFonts w:hint="eastAsia"/>
                      <w:color w:val="auto"/>
                      <w:highlight w:val="none"/>
                      <w:shd w:val="clear" w:color="auto" w:fill="auto"/>
                    </w:rPr>
                    <w:t>工作人员的协商和参与</w:t>
                  </w:r>
                  <w:r>
                    <w:rPr>
                      <w:rFonts w:hint="eastAsia"/>
                      <w:color w:val="auto"/>
                      <w:highlight w:val="none"/>
                      <w:shd w:val="clear" w:color="auto" w:fill="auto"/>
                      <w:lang w:val="en-US" w:eastAsia="zh-CN"/>
                    </w:rPr>
                    <w:t>及趋势</w:t>
                  </w:r>
                </w:p>
              </w:tc>
              <w:tc>
                <w:tcPr>
                  <w:tcW w:w="1869"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□符合 □不符合</w:t>
                  </w:r>
                </w:p>
              </w:tc>
              <w:tc>
                <w:tcPr>
                  <w:tcW w:w="2816" w:type="dxa"/>
                </w:tcPr>
                <w:p>
                  <w:pPr>
                    <w:rPr>
                      <w:rFonts w:hint="default" w:eastAsia="宋体"/>
                      <w:color w:val="auto"/>
                      <w:szCs w:val="21"/>
                      <w:highlight w:val="none"/>
                      <w:shd w:val="clear" w:color="auto" w:fill="auto"/>
                      <w:lang w:val="en-US" w:eastAsia="zh-CN"/>
                    </w:rPr>
                  </w:pPr>
                </w:p>
              </w:tc>
            </w:tr>
          </w:tbl>
          <w:p>
            <w:pPr>
              <w:rPr>
                <w:rFonts w:hint="default" w:eastAsia="宋体"/>
                <w:color w:val="auto"/>
                <w:szCs w:val="21"/>
                <w:highlight w:val="none"/>
                <w:shd w:val="clear" w:color="auto" w:fill="auto"/>
                <w:lang w:val="en-US" w:eastAsia="zh-CN"/>
              </w:rPr>
            </w:pPr>
          </w:p>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 xml:space="preserve">对环境和职业健康管理体系的持续适宜性，充分性，有效性的结论。☑满足 □不满足，说明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管理评审输出信息（决策）</w:t>
                  </w:r>
                </w:p>
              </w:tc>
              <w:tc>
                <w:tcPr>
                  <w:tcW w:w="3695"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措施描述（举例）</w:t>
                  </w: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与持续改进机会相关的决策</w:t>
                  </w:r>
                </w:p>
              </w:tc>
              <w:tc>
                <w:tcPr>
                  <w:tcW w:w="3695" w:type="dxa"/>
                  <w:vAlign w:val="top"/>
                </w:tcPr>
                <w:p>
                  <w:pPr>
                    <w:rPr>
                      <w:rFonts w:hint="eastAsia"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无</w:t>
                  </w:r>
                </w:p>
                <w:p>
                  <w:pPr>
                    <w:rPr>
                      <w:rFonts w:hint="eastAsia" w:eastAsia="宋体"/>
                      <w:color w:val="auto"/>
                      <w:szCs w:val="21"/>
                      <w:highlight w:val="none"/>
                      <w:shd w:val="clear" w:color="auto" w:fill="auto"/>
                      <w:lang w:val="en-US" w:eastAsia="zh-CN"/>
                    </w:rPr>
                  </w:pP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环境和职业健康管理体系所需的变更</w:t>
                  </w:r>
                </w:p>
              </w:tc>
              <w:tc>
                <w:tcPr>
                  <w:tcW w:w="3695"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资源需求</w:t>
                  </w:r>
                </w:p>
              </w:tc>
              <w:tc>
                <w:tcPr>
                  <w:tcW w:w="3695"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环境和职业健康目标未实现所采取的措施。（需要时）</w:t>
                  </w:r>
                </w:p>
              </w:tc>
              <w:tc>
                <w:tcPr>
                  <w:tcW w:w="3695"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w:t>
                  </w:r>
                </w:p>
              </w:tc>
              <w:tc>
                <w:tcPr>
                  <w:tcW w:w="2496" w:type="dxa"/>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改进环境和职业健康管理体系与其他业务过程融合的机会。（需要时）</w:t>
                  </w:r>
                </w:p>
              </w:tc>
              <w:tc>
                <w:tcPr>
                  <w:tcW w:w="3695"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任何与组织战略方向相关的结论</w:t>
                  </w:r>
                </w:p>
              </w:tc>
              <w:tc>
                <w:tcPr>
                  <w:tcW w:w="3695" w:type="dxa"/>
                  <w:vAlign w:val="top"/>
                </w:tcPr>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无</w:t>
                  </w:r>
                </w:p>
              </w:tc>
              <w:tc>
                <w:tcPr>
                  <w:tcW w:w="2496" w:type="dxa"/>
                  <w:vAlign w:val="top"/>
                </w:tcPr>
                <w:p>
                  <w:pPr>
                    <w:rPr>
                      <w:rFonts w:hint="eastAsia"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t>□已落实 □已部分落实</w:t>
                  </w:r>
                </w:p>
              </w:tc>
            </w:tr>
          </w:tbl>
          <w:p>
            <w:pPr>
              <w:rPr>
                <w:rFonts w:hint="eastAsia" w:eastAsia="宋体"/>
                <w:color w:val="auto"/>
                <w:szCs w:val="21"/>
                <w:highlight w:val="none"/>
                <w:shd w:val="clear" w:color="auto" w:fill="auto"/>
                <w:lang w:val="en-US" w:eastAsia="zh-CN"/>
              </w:rPr>
            </w:pPr>
          </w:p>
          <w:p>
            <w:pPr>
              <w:rPr>
                <w:rFonts w:hint="default" w:eastAsia="宋体"/>
                <w:color w:val="auto"/>
                <w:szCs w:val="21"/>
                <w:highlight w:val="none"/>
                <w:shd w:val="clear" w:color="auto" w:fill="auto"/>
                <w:lang w:val="en-US" w:eastAsia="zh-CN"/>
              </w:rPr>
            </w:pPr>
            <w:r>
              <w:rPr>
                <w:rFonts w:hint="eastAsia" w:eastAsia="宋体"/>
                <w:color w:val="auto"/>
                <w:szCs w:val="21"/>
                <w:highlight w:val="none"/>
                <w:shd w:val="clear" w:color="auto" w:fill="auto"/>
                <w:lang w:val="en-US" w:eastAsia="zh-CN"/>
              </w:rPr>
              <w:sym w:font="Wingdings" w:char="00A8"/>
            </w:r>
            <w:r>
              <w:rPr>
                <w:rFonts w:hint="eastAsia" w:eastAsia="宋体"/>
                <w:color w:val="auto"/>
                <w:szCs w:val="21"/>
                <w:highlight w:val="none"/>
                <w:shd w:val="clear" w:color="auto" w:fill="auto"/>
                <w:lang w:val="en-US" w:eastAsia="zh-CN"/>
              </w:rPr>
              <w:t xml:space="preserve">改进措施未落实的原因：                                        </w:t>
            </w:r>
          </w:p>
          <w:p>
            <w:pPr>
              <w:rPr>
                <w:rFonts w:hint="default" w:eastAsia="宋体"/>
                <w:color w:val="auto"/>
                <w:szCs w:val="21"/>
                <w:highlight w:val="none"/>
                <w:shd w:val="clear" w:color="auto" w:fill="auto"/>
                <w:lang w:val="en-US" w:eastAsia="zh-CN"/>
              </w:rPr>
            </w:pPr>
          </w:p>
        </w:tc>
        <w:tc>
          <w:tcPr>
            <w:tcW w:w="1582" w:type="dxa"/>
            <w:vMerge w:val="continue"/>
            <w:shd w:val="clear" w:color="auto" w:fill="auto"/>
          </w:tcPr>
          <w:p>
            <w:pPr>
              <w:rPr>
                <w:rFonts w:hint="eastAsia" w:eastAsia="宋体"/>
                <w:color w:val="FF0000"/>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09" w:hRule="atLeast"/>
        </w:trPr>
        <w:tc>
          <w:tcPr>
            <w:tcW w:w="2154" w:type="dxa"/>
            <w:vMerge w:val="restart"/>
            <w:shd w:val="clear" w:color="auto" w:fill="auto"/>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监视、测量、分析和评价</w:t>
            </w:r>
          </w:p>
          <w:p>
            <w:pPr>
              <w:rPr>
                <w:rFonts w:hint="default" w:eastAsia="宋体"/>
                <w:color w:val="auto"/>
                <w:highlight w:val="none"/>
                <w:shd w:val="clear" w:color="auto" w:fill="auto"/>
                <w:lang w:val="en-US" w:eastAsia="zh-CN"/>
              </w:rPr>
            </w:pPr>
          </w:p>
        </w:tc>
        <w:tc>
          <w:tcPr>
            <w:tcW w:w="960" w:type="dxa"/>
            <w:vMerge w:val="restart"/>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E9.1.1</w:t>
            </w:r>
          </w:p>
        </w:tc>
        <w:tc>
          <w:tcPr>
            <w:tcW w:w="744" w:type="dxa"/>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管理手册9.1.1章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5793" w:hRule="atLeast"/>
        </w:trPr>
        <w:tc>
          <w:tcPr>
            <w:tcW w:w="2154" w:type="dxa"/>
            <w:vMerge w:val="continue"/>
            <w:shd w:val="clear" w:color="auto" w:fill="auto"/>
          </w:tcPr>
          <w:p>
            <w:pPr>
              <w:rPr>
                <w:rFonts w:hint="eastAsia"/>
                <w:color w:val="auto"/>
                <w:highlight w:val="none"/>
                <w:shd w:val="clear" w:color="auto" w:fill="auto"/>
              </w:rPr>
            </w:pPr>
          </w:p>
        </w:tc>
        <w:tc>
          <w:tcPr>
            <w:tcW w:w="960" w:type="dxa"/>
            <w:vMerge w:val="continue"/>
            <w:shd w:val="clear" w:color="auto" w:fill="auto"/>
          </w:tcPr>
          <w:p>
            <w:pPr>
              <w:rPr>
                <w:rFonts w:hint="eastAsia"/>
                <w:color w:val="auto"/>
                <w:highlight w:val="none"/>
                <w:shd w:val="clear" w:color="auto" w:fill="auto"/>
                <w:lang w:val="en-US" w:eastAsia="zh-CN"/>
              </w:rPr>
            </w:pPr>
          </w:p>
        </w:tc>
        <w:tc>
          <w:tcPr>
            <w:tcW w:w="744"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运行证据</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组织对监视和测量的环境和职业健康绩效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t>监视和测量的对象</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t>监视、测量、分析和评价的方法</w:t>
                  </w:r>
                </w:p>
              </w:tc>
              <w:tc>
                <w:tcPr>
                  <w:tcW w:w="1986" w:type="dxa"/>
                </w:tcPr>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监视和测量的频次和时机</w:t>
                  </w:r>
                </w:p>
              </w:tc>
              <w:tc>
                <w:tcPr>
                  <w:tcW w:w="18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lang w:val="en-US" w:eastAsia="zh-CN"/>
                    </w:rPr>
                    <w:t>评价其环境和职业健康绩效所依据的准则和适当的参数</w:t>
                  </w:r>
                </w:p>
              </w:tc>
              <w:tc>
                <w:tcPr>
                  <w:tcW w:w="2034"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污染物排放</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环境和职业健康监测；对结果的合规性进行分析，</w:t>
                  </w:r>
                </w:p>
              </w:tc>
              <w:tc>
                <w:tcPr>
                  <w:tcW w:w="1986" w:type="dxa"/>
                  <w:vAlign w:val="top"/>
                </w:tcPr>
                <w:p>
                  <w:pPr>
                    <w:widowControl/>
                    <w:spacing w:before="40"/>
                    <w:jc w:val="left"/>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 xml:space="preserve">每年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其他</w:t>
                  </w:r>
                </w:p>
              </w:tc>
              <w:tc>
                <w:tcPr>
                  <w:tcW w:w="18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rPr>
                    <w:t>与所辨识的危险源、风险和机遇相关的活动和运行</w:t>
                  </w:r>
                </w:p>
              </w:tc>
              <w:tc>
                <w:tcPr>
                  <w:tcW w:w="2149" w:type="dxa"/>
                  <w:vAlign w:val="top"/>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现场巡视</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抽查记录</w:t>
                  </w:r>
                </w:p>
                <w:p>
                  <w:pPr>
                    <w:rPr>
                      <w:rFonts w:hint="eastAsia"/>
                      <w:color w:val="auto"/>
                      <w:highlight w:val="none"/>
                      <w:shd w:val="clear" w:color="auto" w:fill="auto"/>
                      <w:vertAlign w:val="baseline"/>
                      <w:lang w:val="en-US" w:eastAsia="zh-CN"/>
                    </w:rPr>
                  </w:pPr>
                </w:p>
              </w:tc>
              <w:tc>
                <w:tcPr>
                  <w:tcW w:w="1986" w:type="dxa"/>
                  <w:vAlign w:val="top"/>
                </w:tcPr>
                <w:p>
                  <w:pPr>
                    <w:rPr>
                      <w:rFonts w:hint="eastAsia"/>
                      <w:color w:val="auto"/>
                      <w:highlight w:val="none"/>
                      <w:shd w:val="clear" w:color="auto" w:fill="auto"/>
                      <w:lang w:val="en-US" w:eastAsia="zh-CN"/>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 xml:space="preserve">每天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每周</w:t>
                  </w:r>
                </w:p>
                <w:p>
                  <w:pPr>
                    <w:rPr>
                      <w:rFonts w:hint="eastAsia"/>
                      <w:color w:val="auto"/>
                      <w:szCs w:val="21"/>
                      <w:highlight w:val="none"/>
                      <w:shd w:val="clear" w:color="auto" w:fill="auto"/>
                      <w:lang w:eastAsia="zh-CN"/>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 xml:space="preserve">每年 </w:t>
                  </w: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其他</w:t>
                  </w:r>
                </w:p>
              </w:tc>
              <w:tc>
                <w:tcPr>
                  <w:tcW w:w="1887" w:type="dxa"/>
                  <w:vAlign w:val="top"/>
                </w:tcPr>
                <w:p>
                  <w:pPr>
                    <w:rPr>
                      <w:rFonts w:hint="eastAsia"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rPr>
                    <w:t>危险源、风险和机遇</w:t>
                  </w:r>
                  <w:r>
                    <w:rPr>
                      <w:rFonts w:hint="eastAsia"/>
                      <w:color w:val="auto"/>
                      <w:highlight w:val="none"/>
                      <w:shd w:val="clear" w:color="auto" w:fill="auto"/>
                      <w:lang w:val="en-US" w:eastAsia="zh-CN"/>
                    </w:rPr>
                    <w:t>的规定</w:t>
                  </w:r>
                </w:p>
              </w:tc>
              <w:tc>
                <w:tcPr>
                  <w:tcW w:w="2034" w:type="dxa"/>
                  <w:vAlign w:val="top"/>
                </w:tcPr>
                <w:p>
                  <w:pPr>
                    <w:widowControl/>
                    <w:spacing w:before="40"/>
                    <w:jc w:val="left"/>
                    <w:rPr>
                      <w:rFonts w:hint="eastAsia"/>
                      <w:color w:val="auto"/>
                      <w:szCs w:val="21"/>
                      <w:highlight w:val="none"/>
                      <w:shd w:val="clear" w:color="auto" w:fill="auto"/>
                      <w:lang w:eastAsia="zh-CN"/>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w:t>
                  </w:r>
                </w:p>
              </w:tc>
              <w:tc>
                <w:tcPr>
                  <w:tcW w:w="2149" w:type="dxa"/>
                </w:tcPr>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现场巡视</w:t>
                  </w:r>
                </w:p>
                <w:p>
                  <w:pPr>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抽查记录</w:t>
                  </w:r>
                </w:p>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对环境和职业健康目标进行统计</w:t>
                  </w:r>
                </w:p>
              </w:tc>
              <w:tc>
                <w:tcPr>
                  <w:tcW w:w="1986" w:type="dxa"/>
                </w:tcPr>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定期检查</w:t>
                  </w:r>
                </w:p>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抽查</w:t>
                  </w:r>
                </w:p>
              </w:tc>
              <w:tc>
                <w:tcPr>
                  <w:tcW w:w="1887"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体系</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内部审核；对内审不符合项进行分析</w:t>
                  </w:r>
                </w:p>
              </w:tc>
              <w:tc>
                <w:tcPr>
                  <w:tcW w:w="1986" w:type="dxa"/>
                  <w:vAlign w:val="top"/>
                </w:tcPr>
                <w:p>
                  <w:pPr>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按年度内审计划</w:t>
                  </w:r>
                </w:p>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每年一次</w:t>
                  </w:r>
                </w:p>
                <w:p>
                  <w:pPr>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特殊情况增加</w:t>
                  </w:r>
                </w:p>
              </w:tc>
              <w:tc>
                <w:tcPr>
                  <w:tcW w:w="18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体系有效性</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管理评审，对环境和职业健康存在的需要问题进行分析</w:t>
                  </w:r>
                </w:p>
              </w:tc>
              <w:tc>
                <w:tcPr>
                  <w:tcW w:w="1986" w:type="dxa"/>
                </w:tcPr>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每年一次</w:t>
                  </w:r>
                </w:p>
                <w:p>
                  <w:pPr>
                    <w:rPr>
                      <w:rFonts w:hint="default"/>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特殊情况增加</w:t>
                  </w:r>
                </w:p>
              </w:tc>
              <w:tc>
                <w:tcPr>
                  <w:tcW w:w="1887"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相关方反馈</w:t>
                  </w:r>
                </w:p>
              </w:tc>
              <w:tc>
                <w:tcPr>
                  <w:tcW w:w="2149" w:type="dxa"/>
                </w:tcPr>
                <w:p>
                  <w:pPr>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反馈处理，对问题进行统计</w:t>
                  </w:r>
                </w:p>
              </w:tc>
              <w:tc>
                <w:tcPr>
                  <w:tcW w:w="1986" w:type="dxa"/>
                  <w:vAlign w:val="top"/>
                </w:tcPr>
                <w:p>
                  <w:pPr>
                    <w:rPr>
                      <w:rFonts w:hint="eastAsia"/>
                      <w:color w:val="auto"/>
                      <w:highlight w:val="none"/>
                      <w:shd w:val="clear" w:color="auto" w:fill="auto"/>
                      <w:vertAlign w:val="baseline"/>
                      <w:lang w:val="en-US" w:eastAsia="zh-CN"/>
                    </w:rPr>
                  </w:pPr>
                  <w:r>
                    <w:rPr>
                      <w:rFonts w:hint="eastAsia"/>
                      <w:color w:val="auto"/>
                      <w:szCs w:val="21"/>
                      <w:highlight w:val="none"/>
                      <w:shd w:val="clear" w:color="auto" w:fill="auto"/>
                      <w:lang w:eastAsia="zh-CN"/>
                    </w:rPr>
                    <w:t>☑</w:t>
                  </w:r>
                  <w:r>
                    <w:rPr>
                      <w:rFonts w:hint="eastAsia"/>
                      <w:color w:val="auto"/>
                      <w:highlight w:val="none"/>
                      <w:shd w:val="clear" w:color="auto" w:fill="auto"/>
                      <w:vertAlign w:val="baseline"/>
                      <w:lang w:val="en-US" w:eastAsia="zh-CN"/>
                    </w:rPr>
                    <w:t>每年一次</w:t>
                  </w:r>
                </w:p>
                <w:p>
                  <w:pPr>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随时</w:t>
                  </w:r>
                </w:p>
              </w:tc>
              <w:tc>
                <w:tcPr>
                  <w:tcW w:w="1887" w:type="dxa"/>
                  <w:vAlign w:val="top"/>
                </w:tcPr>
                <w:p>
                  <w:pP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color w:val="auto"/>
                      <w:szCs w:val="21"/>
                      <w:highlight w:val="none"/>
                      <w:shd w:val="clear" w:color="auto" w:fill="auto"/>
                      <w:lang w:eastAsia="zh-CN"/>
                    </w:rPr>
                    <w:t>□</w:t>
                  </w:r>
                  <w:r>
                    <w:rPr>
                      <w:rFonts w:hint="eastAsia"/>
                      <w:color w:val="auto"/>
                      <w:highlight w:val="none"/>
                      <w:shd w:val="clear" w:color="auto" w:fill="auto"/>
                      <w:lang w:val="en-US" w:eastAsia="zh-CN"/>
                    </w:rPr>
                    <w:t>每月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w:t>
                  </w:r>
                  <w:r>
                    <w:rPr>
                      <w:rFonts w:hint="eastAsia"/>
                      <w:color w:val="auto"/>
                      <w:highlight w:val="none"/>
                      <w:shd w:val="clear" w:color="auto" w:fill="auto"/>
                      <w:lang w:val="en-US" w:eastAsia="zh-CN"/>
                    </w:rPr>
                    <w:t xml:space="preserve">每季度 </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每年</w:t>
                  </w:r>
                </w:p>
              </w:tc>
            </w:tr>
          </w:tbl>
          <w:p>
            <w:pPr>
              <w:rPr>
                <w:rFonts w:hint="default"/>
                <w:color w:val="auto"/>
                <w:highlight w:val="none"/>
                <w:shd w:val="clear" w:color="auto" w:fill="auto"/>
                <w:lang w:val="en-US" w:eastAsia="zh-CN"/>
              </w:rPr>
            </w:pP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09" w:hRule="atLeast"/>
        </w:trPr>
        <w:tc>
          <w:tcPr>
            <w:tcW w:w="2154" w:type="dxa"/>
            <w:vMerge w:val="restart"/>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改进</w:t>
            </w:r>
          </w:p>
        </w:tc>
        <w:tc>
          <w:tcPr>
            <w:tcW w:w="960" w:type="dxa"/>
            <w:vMerge w:val="restart"/>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E10.1</w:t>
            </w:r>
          </w:p>
        </w:tc>
        <w:tc>
          <w:tcPr>
            <w:tcW w:w="744" w:type="dxa"/>
            <w:shd w:val="clear" w:color="auto" w:fill="auto"/>
          </w:tcPr>
          <w:p>
            <w:pP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文件名称</w:t>
            </w:r>
          </w:p>
        </w:tc>
        <w:tc>
          <w:tcPr>
            <w:tcW w:w="9269"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管理手册10.1章</w:t>
            </w:r>
          </w:p>
        </w:tc>
        <w:tc>
          <w:tcPr>
            <w:tcW w:w="1582" w:type="dxa"/>
            <w:vMerge w:val="restart"/>
            <w:shd w:val="clear" w:color="auto" w:fill="auto"/>
          </w:tcPr>
          <w:p>
            <w:pP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721" w:hRule="atLeast"/>
        </w:trPr>
        <w:tc>
          <w:tcPr>
            <w:tcW w:w="2154" w:type="dxa"/>
            <w:vMerge w:val="continue"/>
            <w:shd w:val="clear" w:color="auto" w:fill="auto"/>
          </w:tcPr>
          <w:p>
            <w:pPr>
              <w:rPr>
                <w:rFonts w:hint="eastAsia"/>
                <w:color w:val="auto"/>
                <w:highlight w:val="none"/>
                <w:shd w:val="clear" w:color="auto" w:fill="auto"/>
              </w:rPr>
            </w:pPr>
          </w:p>
        </w:tc>
        <w:tc>
          <w:tcPr>
            <w:tcW w:w="960" w:type="dxa"/>
            <w:vMerge w:val="continue"/>
            <w:shd w:val="clear" w:color="auto" w:fill="auto"/>
          </w:tcPr>
          <w:p>
            <w:pPr>
              <w:rPr>
                <w:rFonts w:hint="eastAsia"/>
                <w:color w:val="auto"/>
                <w:highlight w:val="none"/>
                <w:shd w:val="clear" w:color="auto" w:fill="auto"/>
                <w:lang w:val="en-US" w:eastAsia="zh-CN"/>
              </w:rPr>
            </w:pPr>
          </w:p>
        </w:tc>
        <w:tc>
          <w:tcPr>
            <w:tcW w:w="744" w:type="dxa"/>
            <w:shd w:val="clear" w:color="auto" w:fill="auto"/>
          </w:tcPr>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运行证据</w:t>
            </w:r>
          </w:p>
        </w:tc>
        <w:tc>
          <w:tcPr>
            <w:tcW w:w="9269" w:type="dxa"/>
            <w:shd w:val="clear" w:color="auto" w:fill="auto"/>
          </w:tcPr>
          <w:p>
            <w:pPr>
              <w:rPr>
                <w:rFonts w:hint="eastAsia"/>
                <w:color w:val="auto"/>
                <w:highlight w:val="none"/>
                <w:shd w:val="clear" w:color="auto" w:fill="auto"/>
                <w:lang w:val="en-US" w:eastAsia="zh-CN"/>
              </w:rPr>
            </w:pP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组织确定了改进机会，并采取必要措施，以实现其环境和职业健康管理体系的预期结果。。 </w:t>
            </w:r>
          </w:p>
          <w:p>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这包括： </w:t>
            </w:r>
          </w:p>
          <w:p>
            <w:pPr>
              <w:rPr>
                <w:rFonts w:hint="eastAsia"/>
                <w:color w:val="auto"/>
                <w:highlight w:val="none"/>
                <w:shd w:val="clear" w:color="auto" w:fill="auto"/>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改进产品和服务，以满足相关方要求并应对其需求和期望； </w:t>
            </w:r>
          </w:p>
          <w:p>
            <w:pPr>
              <w:rPr>
                <w:rFonts w:hint="eastAsia"/>
                <w:color w:val="auto"/>
                <w:highlight w:val="none"/>
                <w:shd w:val="clear" w:color="auto" w:fill="auto"/>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纠正、预防或减少不利影响； </w:t>
            </w:r>
          </w:p>
          <w:p>
            <w:pPr>
              <w:rPr>
                <w:rFonts w:hint="eastAsia"/>
                <w:color w:val="auto"/>
                <w:highlight w:val="none"/>
                <w:shd w:val="clear" w:color="auto" w:fill="auto"/>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改进环境和职业健康管理体系的绩效和有效性。 </w:t>
            </w:r>
          </w:p>
          <w:p>
            <w:pPr>
              <w:rPr>
                <w:rFonts w:hint="default"/>
                <w:color w:val="auto"/>
                <w:highlight w:val="none"/>
                <w:shd w:val="clear" w:color="auto" w:fill="auto"/>
                <w:lang w:val="en-US" w:eastAsia="zh-CN"/>
              </w:rPr>
            </w:pPr>
            <w:r>
              <w:rPr>
                <w:rFonts w:hint="eastAsia"/>
                <w:color w:val="auto"/>
                <w:highlight w:val="none"/>
                <w:shd w:val="clear" w:color="auto" w:fill="auto"/>
                <w:lang w:val="en-US" w:eastAsia="zh-CN"/>
              </w:rPr>
              <w:t xml:space="preserve">改进包括：纠正、纠正措施、持续改进、突破性变革、创新和重组。 </w:t>
            </w:r>
          </w:p>
        </w:tc>
        <w:tc>
          <w:tcPr>
            <w:tcW w:w="1582" w:type="dxa"/>
            <w:vMerge w:val="continue"/>
            <w:shd w:val="clear" w:color="auto" w:fill="auto"/>
          </w:tcPr>
          <w:p>
            <w:pP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2154" w:type="dxa"/>
            <w:vMerge w:val="restart"/>
            <w:shd w:val="clear" w:color="auto" w:fill="B6DDE8" w:themeFill="accent5" w:themeFillTint="66"/>
          </w:tcPr>
          <w:p>
            <w:pPr>
              <w:shd w:val="clear"/>
              <w:rPr>
                <w:rFonts w:hint="eastAsia" w:eastAsia="宋体"/>
                <w:color w:val="auto"/>
                <w:highlight w:val="none"/>
                <w:shd w:val="clear" w:color="auto" w:fill="auto"/>
                <w:lang w:val="en-US" w:eastAsia="zh-CN"/>
              </w:rPr>
            </w:pPr>
            <w:r>
              <w:rPr>
                <w:rFonts w:hint="eastAsia"/>
                <w:color w:val="auto"/>
                <w:highlight w:val="none"/>
                <w:shd w:val="clear" w:color="auto" w:fill="auto"/>
                <w:lang w:val="en-US" w:eastAsia="zh-CN"/>
              </w:rPr>
              <w:t>持续改进</w:t>
            </w:r>
          </w:p>
        </w:tc>
        <w:tc>
          <w:tcPr>
            <w:tcW w:w="960" w:type="dxa"/>
            <w:vMerge w:val="restart"/>
            <w:shd w:val="clear" w:color="auto" w:fill="B6DDE8" w:themeFill="accent5" w:themeFillTint="66"/>
          </w:tcPr>
          <w:p>
            <w:pPr>
              <w:shd w:val="clea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EO10.3</w:t>
            </w:r>
          </w:p>
        </w:tc>
        <w:tc>
          <w:tcPr>
            <w:tcW w:w="744" w:type="dxa"/>
            <w:shd w:val="clear" w:color="auto" w:fill="B6DDE8" w:themeFill="accent5" w:themeFillTint="66"/>
          </w:tcPr>
          <w:p>
            <w:pPr>
              <w:shd w:val="clear"/>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文件名称</w:t>
            </w:r>
          </w:p>
        </w:tc>
        <w:tc>
          <w:tcPr>
            <w:tcW w:w="9269" w:type="dxa"/>
            <w:shd w:val="clear" w:color="auto" w:fill="B6DDE8" w:themeFill="accent5" w:themeFillTint="66"/>
          </w:tcPr>
          <w:p>
            <w:pPr>
              <w:shd w:val="clear"/>
              <w:rPr>
                <w:rFonts w:hint="eastAsia"/>
                <w:color w:val="auto"/>
                <w:highlight w:val="none"/>
                <w:shd w:val="clear" w:color="auto" w:fill="auto"/>
                <w:lang w:val="en-US" w:eastAsia="zh-CN"/>
              </w:rPr>
            </w:pPr>
            <w:r>
              <w:rPr>
                <w:rFonts w:hint="eastAsia"/>
                <w:color w:val="auto"/>
                <w:highlight w:val="none"/>
                <w:shd w:val="clear" w:color="auto" w:fill="auto"/>
                <w:lang w:val="en-US" w:eastAsia="zh-CN"/>
              </w:rPr>
              <w:t>如：</w:t>
            </w: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EHS手册10.3章、</w:t>
            </w:r>
            <w:r>
              <w:rPr>
                <w:rFonts w:hint="eastAsia"/>
                <w:color w:val="auto"/>
                <w:highlight w:val="none"/>
                <w:shd w:val="clear" w:color="auto" w:fill="auto"/>
              </w:rPr>
              <w:sym w:font="Wingdings" w:char="00A8"/>
            </w:r>
            <w:r>
              <w:rPr>
                <w:rFonts w:hint="eastAsia"/>
                <w:color w:val="auto"/>
                <w:highlight w:val="none"/>
                <w:shd w:val="clear" w:color="auto" w:fill="auto"/>
                <w:lang w:val="en-US" w:eastAsia="zh-CN"/>
              </w:rPr>
              <w:t>《</w:t>
            </w:r>
            <w:r>
              <w:rPr>
                <w:rFonts w:hint="eastAsia" w:ascii="Arial" w:hAnsi="Arial"/>
                <w:color w:val="auto"/>
                <w:highlight w:val="none"/>
                <w:shd w:val="clear" w:color="auto" w:fill="auto"/>
              </w:rPr>
              <w:t>事件、</w:t>
            </w:r>
            <w:r>
              <w:rPr>
                <w:rFonts w:hint="eastAsia"/>
                <w:color w:val="auto"/>
                <w:highlight w:val="none"/>
                <w:shd w:val="clear" w:color="auto" w:fill="auto"/>
                <w:lang w:val="en-US" w:eastAsia="zh-CN"/>
              </w:rPr>
              <w:t>不符合和纠正措施控制程序》</w:t>
            </w:r>
          </w:p>
        </w:tc>
        <w:tc>
          <w:tcPr>
            <w:tcW w:w="1582" w:type="dxa"/>
            <w:vMerge w:val="restart"/>
            <w:shd w:val="clear" w:color="auto" w:fill="B6DDE8" w:themeFill="accent5" w:themeFillTint="66"/>
          </w:tcPr>
          <w:p>
            <w:pPr>
              <w:shd w:val="clear"/>
              <w:rPr>
                <w:rFonts w:hint="eastAsia"/>
                <w:color w:val="auto"/>
                <w:highlight w:val="none"/>
                <w:shd w:val="clear" w:color="auto" w:fill="auto"/>
                <w:lang w:val="en-US" w:eastAsia="zh-CN"/>
              </w:rPr>
            </w:pPr>
            <w:r>
              <w:rPr>
                <w:color w:val="auto"/>
                <w:highlight w:val="none"/>
                <w:shd w:val="clear" w:color="auto" w:fill="auto"/>
              </w:rPr>
              <w:sym w:font="Wingdings" w:char="00FE"/>
            </w:r>
            <w:r>
              <w:rPr>
                <w:rFonts w:hint="eastAsia"/>
                <w:color w:val="auto"/>
                <w:highlight w:val="none"/>
                <w:shd w:val="clear" w:color="auto" w:fill="auto"/>
                <w:lang w:val="en-US" w:eastAsia="zh-CN"/>
              </w:rPr>
              <w:t>符合</w:t>
            </w:r>
          </w:p>
          <w:p>
            <w:pPr>
              <w:shd w:val="clear"/>
              <w:rPr>
                <w:color w:val="auto"/>
                <w:highlight w:val="none"/>
                <w:shd w:val="clear" w:color="auto" w:fill="auto"/>
              </w:rPr>
            </w:pPr>
            <w:r>
              <w:rPr>
                <w:color w:val="auto"/>
                <w:highlight w:val="none"/>
                <w:shd w:val="clear" w:color="auto" w:fill="auto"/>
              </w:rPr>
              <w:sym w:font="Wingdings" w:char="00A8"/>
            </w:r>
            <w:r>
              <w:rPr>
                <w:rFonts w:hint="eastAsia"/>
                <w:color w:val="auto"/>
                <w:highlight w:val="none"/>
                <w:shd w:val="clear" w:color="auto" w:fil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2154" w:type="dxa"/>
            <w:vMerge w:val="continue"/>
            <w:shd w:val="clear" w:color="auto" w:fill="B6DDE8" w:themeFill="accent5" w:themeFillTint="66"/>
          </w:tcPr>
          <w:p>
            <w:pPr>
              <w:shd w:val="clear"/>
              <w:rPr>
                <w:rFonts w:hint="eastAsia"/>
                <w:color w:val="auto"/>
                <w:highlight w:val="none"/>
                <w:shd w:val="clear" w:color="auto" w:fill="auto"/>
              </w:rPr>
            </w:pPr>
          </w:p>
        </w:tc>
        <w:tc>
          <w:tcPr>
            <w:tcW w:w="960" w:type="dxa"/>
            <w:vMerge w:val="continue"/>
            <w:shd w:val="clear" w:color="auto" w:fill="B6DDE8" w:themeFill="accent5" w:themeFillTint="66"/>
          </w:tcPr>
          <w:p>
            <w:pPr>
              <w:shd w:val="clear"/>
              <w:rPr>
                <w:rFonts w:hint="eastAsia"/>
                <w:color w:val="auto"/>
                <w:highlight w:val="none"/>
                <w:shd w:val="clear" w:color="auto" w:fill="auto"/>
                <w:lang w:val="en-US" w:eastAsia="zh-CN"/>
              </w:rPr>
            </w:pPr>
          </w:p>
        </w:tc>
        <w:tc>
          <w:tcPr>
            <w:tcW w:w="744" w:type="dxa"/>
            <w:shd w:val="clear" w:color="auto" w:fill="B6DDE8" w:themeFill="accent5" w:themeFillTint="66"/>
          </w:tcPr>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t>运行证据</w:t>
            </w:r>
          </w:p>
        </w:tc>
        <w:tc>
          <w:tcPr>
            <w:tcW w:w="9269" w:type="dxa"/>
            <w:shd w:val="clear" w:color="auto" w:fill="B6DDE8" w:themeFill="accent5" w:themeFillTint="66"/>
          </w:tcPr>
          <w:tbl>
            <w:tblPr>
              <w:tblStyle w:val="7"/>
              <w:tblpPr w:leftFromText="180" w:rightFromText="180" w:vertAnchor="text" w:horzAnchor="page" w:tblpX="119" w:tblpY="30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改进方式</w:t>
                  </w:r>
                </w:p>
              </w:tc>
              <w:tc>
                <w:tcPr>
                  <w:tcW w:w="3305" w:type="dxa"/>
                </w:tcPr>
                <w:p>
                  <w:pPr>
                    <w:shd w:val="clea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改进活动</w:t>
                  </w:r>
                </w:p>
              </w:tc>
              <w:tc>
                <w:tcPr>
                  <w:tcW w:w="1947" w:type="dxa"/>
                </w:tcPr>
                <w:p>
                  <w:pPr>
                    <w:shd w:val="clear"/>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eastAsia"/>
                      <w:color w:val="auto"/>
                      <w:highlight w:val="none"/>
                      <w:shd w:val="clear" w:color="auto" w:fill="auto"/>
                      <w:vertAlign w:val="baseline"/>
                    </w:rPr>
                  </w:pPr>
                  <w:r>
                    <w:rPr>
                      <w:rFonts w:hint="eastAsia"/>
                      <w:color w:val="auto"/>
                      <w:highlight w:val="none"/>
                      <w:shd w:val="clear" w:color="auto" w:fill="auto"/>
                    </w:rPr>
                    <w:t>提升</w:t>
                  </w:r>
                  <w:r>
                    <w:rPr>
                      <w:rFonts w:hint="eastAsia"/>
                      <w:color w:val="auto"/>
                      <w:highlight w:val="none"/>
                      <w:shd w:val="clear" w:color="auto" w:fill="auto"/>
                      <w:lang w:val="en-US" w:eastAsia="zh-CN"/>
                    </w:rPr>
                    <w:t>环境和</w:t>
                  </w:r>
                  <w:r>
                    <w:rPr>
                      <w:rFonts w:hint="eastAsia"/>
                      <w:color w:val="auto"/>
                      <w:highlight w:val="none"/>
                      <w:shd w:val="clear" w:color="auto" w:fill="auto"/>
                    </w:rPr>
                    <w:t>职业健康安全绩效</w:t>
                  </w:r>
                </w:p>
              </w:tc>
              <w:tc>
                <w:tcPr>
                  <w:tcW w:w="3305" w:type="dxa"/>
                </w:tcPr>
                <w:p>
                  <w:pPr>
                    <w:shd w:val="clear"/>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见管理评审改进措施</w:t>
                  </w:r>
                </w:p>
              </w:tc>
              <w:tc>
                <w:tcPr>
                  <w:tcW w:w="1947" w:type="dxa"/>
                </w:tcPr>
                <w:p>
                  <w:pPr>
                    <w:shd w:val="clear"/>
                    <w:rPr>
                      <w:rFonts w:hint="default"/>
                      <w:color w:val="auto"/>
                      <w:highlight w:val="none"/>
                      <w:shd w:val="clear" w:color="auto" w:fill="auto"/>
                      <w:vertAlign w:val="baseline"/>
                      <w:lang w:val="en-US"/>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rPr>
                    <w:sym w:font="Wingdings" w:char="00A8"/>
                  </w:r>
                  <w:r>
                    <w:rPr>
                      <w:rFonts w:hint="eastAsia"/>
                      <w:color w:val="auto"/>
                      <w:highlight w:val="none"/>
                      <w:shd w:val="clear" w:color="auto" w:fill="auto"/>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eastAsia"/>
                      <w:color w:val="auto"/>
                      <w:highlight w:val="none"/>
                      <w:shd w:val="clear" w:color="auto" w:fill="auto"/>
                      <w:vertAlign w:val="baseline"/>
                    </w:rPr>
                  </w:pPr>
                  <w:r>
                    <w:rPr>
                      <w:rFonts w:hint="eastAsia"/>
                      <w:color w:val="auto"/>
                      <w:highlight w:val="none"/>
                      <w:shd w:val="clear" w:color="auto" w:fill="auto"/>
                    </w:rPr>
                    <w:t>促进支持</w:t>
                  </w:r>
                  <w:r>
                    <w:rPr>
                      <w:rFonts w:hint="eastAsia"/>
                      <w:color w:val="auto"/>
                      <w:highlight w:val="none"/>
                      <w:shd w:val="clear" w:color="auto" w:fill="auto"/>
                      <w:lang w:val="en-US" w:eastAsia="zh-CN"/>
                    </w:rPr>
                    <w:t>环境和</w:t>
                  </w:r>
                  <w:r>
                    <w:rPr>
                      <w:rFonts w:hint="eastAsia"/>
                      <w:color w:val="auto"/>
                      <w:highlight w:val="none"/>
                      <w:shd w:val="clear" w:color="auto" w:fill="auto"/>
                    </w:rPr>
                    <w:t>职业健康安全管理体系的文化</w:t>
                  </w:r>
                </w:p>
              </w:tc>
              <w:tc>
                <w:tcPr>
                  <w:tcW w:w="3305" w:type="dxa"/>
                </w:tcPr>
                <w:p>
                  <w:pPr>
                    <w:shd w:val="clear"/>
                    <w:rPr>
                      <w:rFonts w:hint="default"/>
                      <w:color w:val="auto"/>
                      <w:highlight w:val="none"/>
                      <w:shd w:val="clear" w:color="auto" w:fill="auto"/>
                      <w:vertAlign w:val="baseline"/>
                      <w:lang w:val="en-US"/>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见安环意识的培养</w:t>
                  </w:r>
                </w:p>
              </w:tc>
              <w:tc>
                <w:tcPr>
                  <w:tcW w:w="1947" w:type="dxa"/>
                  <w:vAlign w:val="top"/>
                </w:tcPr>
                <w:p>
                  <w:pPr>
                    <w:shd w:val="clea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rPr>
                    <w:sym w:font="Wingdings" w:char="00A8"/>
                  </w:r>
                  <w:r>
                    <w:rPr>
                      <w:rFonts w:hint="eastAsia"/>
                      <w:color w:val="auto"/>
                      <w:highlight w:val="none"/>
                      <w:shd w:val="clear" w:color="auto" w:fill="auto"/>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eastAsia"/>
                      <w:color w:val="auto"/>
                      <w:highlight w:val="none"/>
                      <w:shd w:val="clear" w:color="auto" w:fill="auto"/>
                      <w:vertAlign w:val="baseline"/>
                    </w:rPr>
                  </w:pPr>
                  <w:r>
                    <w:rPr>
                      <w:rFonts w:hint="eastAsia"/>
                      <w:color w:val="auto"/>
                      <w:highlight w:val="none"/>
                      <w:shd w:val="clear" w:color="auto" w:fill="auto"/>
                    </w:rPr>
                    <w:t>促进工作人员参与</w:t>
                  </w:r>
                  <w:r>
                    <w:rPr>
                      <w:rFonts w:hint="eastAsia"/>
                      <w:color w:val="auto"/>
                      <w:highlight w:val="none"/>
                      <w:shd w:val="clear" w:color="auto" w:fill="auto"/>
                      <w:lang w:val="en-US" w:eastAsia="zh-CN"/>
                    </w:rPr>
                    <w:t>环境和</w:t>
                  </w:r>
                  <w:r>
                    <w:rPr>
                      <w:rFonts w:hint="eastAsia"/>
                      <w:color w:val="auto"/>
                      <w:highlight w:val="none"/>
                      <w:shd w:val="clear" w:color="auto" w:fill="auto"/>
                    </w:rPr>
                    <w:t>职业健康安全管理体系持续改进措施的实施</w:t>
                  </w:r>
                </w:p>
              </w:tc>
              <w:tc>
                <w:tcPr>
                  <w:tcW w:w="3305" w:type="dxa"/>
                </w:tcPr>
                <w:p>
                  <w:pPr>
                    <w:shd w:val="clear"/>
                    <w:rPr>
                      <w:rFonts w:hint="eastAsia"/>
                      <w:color w:val="auto"/>
                      <w:highlight w:val="none"/>
                      <w:shd w:val="clear" w:color="auto" w:fill="auto"/>
                      <w:vertAlign w:val="baseline"/>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见协商和参与</w:t>
                  </w:r>
                </w:p>
                <w:p>
                  <w:pPr>
                    <w:shd w:val="clear"/>
                    <w:rPr>
                      <w:rFonts w:hint="eastAsia"/>
                      <w:color w:val="auto"/>
                      <w:highlight w:val="none"/>
                      <w:shd w:val="clear" w:color="auto" w:fill="auto"/>
                      <w:vertAlign w:val="baseline"/>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见管理评审改进措施</w:t>
                  </w:r>
                </w:p>
                <w:p>
                  <w:pPr>
                    <w:shd w:val="clear"/>
                    <w:rPr>
                      <w:rFonts w:hint="default"/>
                      <w:color w:val="auto"/>
                      <w:highlight w:val="none"/>
                      <w:shd w:val="clear" w:color="auto" w:fill="auto"/>
                      <w:vertAlign w:val="baseline"/>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见事件、不符合和纠正措施</w:t>
                  </w:r>
                </w:p>
              </w:tc>
              <w:tc>
                <w:tcPr>
                  <w:tcW w:w="1947" w:type="dxa"/>
                  <w:vAlign w:val="top"/>
                </w:tcPr>
                <w:p>
                  <w:pPr>
                    <w:shd w:val="clea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rPr>
                    <w:sym w:font="Wingdings" w:char="00A8"/>
                  </w:r>
                  <w:r>
                    <w:rPr>
                      <w:rFonts w:hint="eastAsia"/>
                      <w:color w:val="auto"/>
                      <w:highlight w:val="none"/>
                      <w:shd w:val="clear" w:color="auto" w:fill="auto"/>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shd w:val="clear"/>
                    <w:rPr>
                      <w:rFonts w:hint="eastAsia"/>
                      <w:color w:val="auto"/>
                      <w:highlight w:val="none"/>
                      <w:shd w:val="clear" w:color="auto" w:fill="auto"/>
                      <w:vertAlign w:val="baseline"/>
                    </w:rPr>
                  </w:pPr>
                  <w:r>
                    <w:rPr>
                      <w:rFonts w:hint="eastAsia"/>
                      <w:color w:val="auto"/>
                      <w:highlight w:val="none"/>
                      <w:shd w:val="clear" w:color="auto" w:fill="auto"/>
                    </w:rPr>
                    <w:t>就有关持续改进的结果与工作人员及其代表（若有）进行沟通</w:t>
                  </w:r>
                </w:p>
              </w:tc>
              <w:tc>
                <w:tcPr>
                  <w:tcW w:w="3305" w:type="dxa"/>
                </w:tcPr>
                <w:p>
                  <w:pPr>
                    <w:shd w:val="clear"/>
                    <w:rPr>
                      <w:rFonts w:hint="eastAsia"/>
                      <w:color w:val="auto"/>
                      <w:highlight w:val="none"/>
                      <w:shd w:val="clear" w:color="auto" w:fill="auto"/>
                      <w:vertAlign w:val="baseline"/>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见协商和参与</w:t>
                  </w:r>
                </w:p>
                <w:p>
                  <w:pPr>
                    <w:shd w:val="clear"/>
                    <w:rPr>
                      <w:rFonts w:hint="eastAsia"/>
                      <w:color w:val="auto"/>
                      <w:highlight w:val="none"/>
                      <w:shd w:val="clear" w:color="auto" w:fill="auto"/>
                      <w:vertAlign w:val="baseline"/>
                      <w:lang w:val="en-US" w:eastAsia="zh-CN"/>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见管理评审改进措施</w:t>
                  </w:r>
                </w:p>
                <w:p>
                  <w:pPr>
                    <w:shd w:val="clear"/>
                    <w:rPr>
                      <w:rFonts w:hint="eastAsia"/>
                      <w:color w:val="auto"/>
                      <w:highlight w:val="none"/>
                      <w:shd w:val="clear" w:color="auto" w:fill="auto"/>
                      <w:vertAlign w:val="baseline"/>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 </w:t>
                  </w:r>
                  <w:r>
                    <w:rPr>
                      <w:rFonts w:hint="eastAsia"/>
                      <w:color w:val="auto"/>
                      <w:highlight w:val="none"/>
                      <w:shd w:val="clear" w:color="auto" w:fill="auto"/>
                      <w:vertAlign w:val="baseline"/>
                      <w:lang w:val="en-US" w:eastAsia="zh-CN"/>
                    </w:rPr>
                    <w:t>见事件、不符合和纠正措施</w:t>
                  </w:r>
                </w:p>
              </w:tc>
              <w:tc>
                <w:tcPr>
                  <w:tcW w:w="1947" w:type="dxa"/>
                  <w:vAlign w:val="top"/>
                </w:tcPr>
                <w:p>
                  <w:pPr>
                    <w:shd w:val="clear"/>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rPr>
                    <w:sym w:font="Wingdings" w:char="00FE"/>
                  </w:r>
                  <w:r>
                    <w:rPr>
                      <w:rFonts w:hint="eastAsia"/>
                      <w:color w:val="auto"/>
                      <w:highlight w:val="none"/>
                      <w:shd w:val="clear" w:color="auto" w:fill="auto"/>
                      <w:lang w:val="en-US" w:eastAsia="zh-CN"/>
                    </w:rPr>
                    <w:t xml:space="preserve">符合  </w:t>
                  </w:r>
                  <w:r>
                    <w:rPr>
                      <w:rFonts w:hint="eastAsia"/>
                      <w:color w:val="auto"/>
                      <w:highlight w:val="none"/>
                      <w:shd w:val="clear" w:color="auto" w:fill="auto"/>
                    </w:rPr>
                    <w:sym w:font="Wingdings" w:char="00A8"/>
                  </w:r>
                  <w:r>
                    <w:rPr>
                      <w:rFonts w:hint="eastAsia"/>
                      <w:color w:val="auto"/>
                      <w:highlight w:val="none"/>
                      <w:shd w:val="clear" w:color="auto" w:fill="auto"/>
                      <w:lang w:val="en-US" w:eastAsia="zh-CN"/>
                    </w:rPr>
                    <w:t xml:space="preserve">不符合 </w:t>
                  </w:r>
                </w:p>
              </w:tc>
            </w:tr>
          </w:tbl>
          <w:p>
            <w:pPr>
              <w:shd w:val="clear"/>
              <w:rPr>
                <w:color w:val="auto"/>
                <w:highlight w:val="none"/>
                <w:shd w:val="clear" w:color="auto" w:fill="auto"/>
              </w:rPr>
            </w:pPr>
            <w:r>
              <w:rPr>
                <w:rFonts w:hint="eastAsia"/>
                <w:color w:val="auto"/>
                <w:highlight w:val="none"/>
                <w:shd w:val="clear" w:color="auto" w:fill="auto"/>
              </w:rPr>
              <w:t>组织通过下列方式持续改进职业健康安全管理体系的适宜性、充分性与有效性：</w:t>
            </w:r>
          </w:p>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 管理评审改进措施已落实</w:t>
            </w:r>
          </w:p>
          <w:p>
            <w:pPr>
              <w:shd w:val="clear"/>
              <w:rPr>
                <w:rFonts w:hint="default"/>
                <w:color w:val="auto"/>
                <w:highlight w:val="none"/>
                <w:shd w:val="clear" w:color="auto" w:fill="auto"/>
                <w:lang w:val="en-US" w:eastAsia="zh-CN"/>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 管理评审改进措施未落实的原因：</w:t>
            </w:r>
            <w:r>
              <w:rPr>
                <w:rFonts w:hint="eastAsia"/>
                <w:color w:val="auto"/>
                <w:highlight w:val="none"/>
                <w:u w:val="single"/>
                <w:shd w:val="clear" w:color="auto" w:fill="auto"/>
                <w:lang w:val="en-US" w:eastAsia="zh-CN"/>
              </w:rPr>
              <w:t xml:space="preserve">                              </w:t>
            </w:r>
          </w:p>
        </w:tc>
        <w:tc>
          <w:tcPr>
            <w:tcW w:w="1582" w:type="dxa"/>
            <w:vMerge w:val="continue"/>
            <w:shd w:val="clear" w:color="auto" w:fill="B6DDE8" w:themeFill="accent5" w:themeFillTint="66"/>
          </w:tcPr>
          <w:p>
            <w:pPr>
              <w:shd w:val="clear"/>
              <w:rPr>
                <w:color w:val="auto"/>
                <w:highlight w:val="none"/>
                <w:shd w:val="clear" w:color="auto" w:fill="auto"/>
              </w:rPr>
            </w:pPr>
          </w:p>
        </w:tc>
      </w:tr>
    </w:tbl>
    <w:p>
      <w:pPr>
        <w:shd w:val="clear"/>
        <w:rPr>
          <w:color w:val="auto"/>
          <w:highlight w:val="none"/>
          <w:shd w:val="clear" w:color="auto" w:fill="auto"/>
        </w:rPr>
      </w:pPr>
    </w:p>
    <w:p>
      <w:pPr>
        <w:shd w:val="clea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735" w:firstLine="0"/>
      </w:pPr>
      <w:rPr>
        <w:rFonts w:hint="eastAsia" w:ascii="黑体" w:hAnsi="Times New Roman" w:eastAsia="黑体"/>
        <w:b w:val="0"/>
        <w:i w:val="0"/>
        <w:sz w:val="21"/>
      </w:rPr>
    </w:lvl>
    <w:lvl w:ilvl="3" w:tentative="0">
      <w:start w:val="1"/>
      <w:numFmt w:val="decimal"/>
      <w:pStyle w:val="14"/>
      <w:suff w:val="nothing"/>
      <w:lvlText w:val="%1%2.%3.%4　"/>
      <w:lvlJc w:val="left"/>
      <w:pPr>
        <w:ind w:left="1050" w:firstLine="0"/>
      </w:pPr>
      <w:rPr>
        <w:rFonts w:hint="eastAsia" w:ascii="黑体" w:hAnsi="Times New Roman" w:eastAsia="黑体"/>
        <w:b w:val="0"/>
        <w:i w:val="0"/>
        <w:sz w:val="21"/>
      </w:rPr>
    </w:lvl>
    <w:lvl w:ilvl="4" w:tentative="0">
      <w:start w:val="1"/>
      <w:numFmt w:val="decimal"/>
      <w:pStyle w:val="13"/>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392541"/>
    <w:rsid w:val="01A321D9"/>
    <w:rsid w:val="01E27364"/>
    <w:rsid w:val="01FE18C8"/>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BB1D56"/>
    <w:rsid w:val="0ACA6ED2"/>
    <w:rsid w:val="0AEF4D8D"/>
    <w:rsid w:val="0B2B0BD0"/>
    <w:rsid w:val="0BE64DFF"/>
    <w:rsid w:val="0C5423F7"/>
    <w:rsid w:val="0C8009B8"/>
    <w:rsid w:val="0CC102DA"/>
    <w:rsid w:val="0CF7494A"/>
    <w:rsid w:val="0D181113"/>
    <w:rsid w:val="0D1E4D9B"/>
    <w:rsid w:val="0D270A06"/>
    <w:rsid w:val="0D4D1326"/>
    <w:rsid w:val="0D6A2C36"/>
    <w:rsid w:val="0DB35CC0"/>
    <w:rsid w:val="0E385B07"/>
    <w:rsid w:val="0E49595F"/>
    <w:rsid w:val="0EB8524B"/>
    <w:rsid w:val="0F86648B"/>
    <w:rsid w:val="0F9A6D86"/>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AD42D4"/>
    <w:rsid w:val="16B634A6"/>
    <w:rsid w:val="16E341B9"/>
    <w:rsid w:val="16F10A78"/>
    <w:rsid w:val="17226BDD"/>
    <w:rsid w:val="17446813"/>
    <w:rsid w:val="177551EA"/>
    <w:rsid w:val="179B1D36"/>
    <w:rsid w:val="17A2281A"/>
    <w:rsid w:val="17C079EC"/>
    <w:rsid w:val="17F76BA3"/>
    <w:rsid w:val="182A66F0"/>
    <w:rsid w:val="182F656A"/>
    <w:rsid w:val="186A6524"/>
    <w:rsid w:val="186F767B"/>
    <w:rsid w:val="187F0353"/>
    <w:rsid w:val="188852B3"/>
    <w:rsid w:val="18DD0D85"/>
    <w:rsid w:val="18E725C6"/>
    <w:rsid w:val="18FB3FC3"/>
    <w:rsid w:val="19444428"/>
    <w:rsid w:val="19553BF7"/>
    <w:rsid w:val="195A6DC8"/>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41941"/>
    <w:rsid w:val="1F8E0A45"/>
    <w:rsid w:val="1FAB395F"/>
    <w:rsid w:val="1FB451F2"/>
    <w:rsid w:val="1FB8538A"/>
    <w:rsid w:val="1FF16224"/>
    <w:rsid w:val="201572E0"/>
    <w:rsid w:val="20272451"/>
    <w:rsid w:val="203255D2"/>
    <w:rsid w:val="20403C64"/>
    <w:rsid w:val="205905F2"/>
    <w:rsid w:val="205B3801"/>
    <w:rsid w:val="207644C2"/>
    <w:rsid w:val="20A856C1"/>
    <w:rsid w:val="20D26136"/>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0E0A52"/>
    <w:rsid w:val="2519537A"/>
    <w:rsid w:val="258041F6"/>
    <w:rsid w:val="258609CC"/>
    <w:rsid w:val="261B55F8"/>
    <w:rsid w:val="261D5675"/>
    <w:rsid w:val="269C7CAD"/>
    <w:rsid w:val="26DA408B"/>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AD57FF4"/>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253A13"/>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4273C4"/>
    <w:rsid w:val="3B5F0280"/>
    <w:rsid w:val="3B8C1823"/>
    <w:rsid w:val="3BCD5A20"/>
    <w:rsid w:val="3BEE1D6F"/>
    <w:rsid w:val="3BF1473C"/>
    <w:rsid w:val="3C441E36"/>
    <w:rsid w:val="3CA475E5"/>
    <w:rsid w:val="3CA717F2"/>
    <w:rsid w:val="3CC56579"/>
    <w:rsid w:val="3CEB2CC9"/>
    <w:rsid w:val="3D053E44"/>
    <w:rsid w:val="3D721433"/>
    <w:rsid w:val="3DA34201"/>
    <w:rsid w:val="3DAB460B"/>
    <w:rsid w:val="3DDA7DB2"/>
    <w:rsid w:val="3DEC3FEA"/>
    <w:rsid w:val="3DF92E01"/>
    <w:rsid w:val="3E130DD4"/>
    <w:rsid w:val="3E342793"/>
    <w:rsid w:val="3E3C5235"/>
    <w:rsid w:val="3EA34B57"/>
    <w:rsid w:val="3ED604A2"/>
    <w:rsid w:val="3EEF1E6E"/>
    <w:rsid w:val="3F474DB7"/>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255C92"/>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1D1149C"/>
    <w:rsid w:val="521A5D1E"/>
    <w:rsid w:val="523624DE"/>
    <w:rsid w:val="523765FF"/>
    <w:rsid w:val="52A23F56"/>
    <w:rsid w:val="52BA5471"/>
    <w:rsid w:val="52D871F4"/>
    <w:rsid w:val="52F263D6"/>
    <w:rsid w:val="52F737EA"/>
    <w:rsid w:val="53024EB7"/>
    <w:rsid w:val="53261795"/>
    <w:rsid w:val="5373268D"/>
    <w:rsid w:val="53953BE7"/>
    <w:rsid w:val="53F51637"/>
    <w:rsid w:val="54124FEF"/>
    <w:rsid w:val="541C4B67"/>
    <w:rsid w:val="54C37FCA"/>
    <w:rsid w:val="552A2893"/>
    <w:rsid w:val="555A4FF2"/>
    <w:rsid w:val="556B045B"/>
    <w:rsid w:val="557D4E77"/>
    <w:rsid w:val="55C375DD"/>
    <w:rsid w:val="55D6396B"/>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660E0"/>
    <w:rsid w:val="580F191D"/>
    <w:rsid w:val="58133B8E"/>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9D2316"/>
    <w:rsid w:val="61CB3AFA"/>
    <w:rsid w:val="61E77A7E"/>
    <w:rsid w:val="622A4138"/>
    <w:rsid w:val="62385483"/>
    <w:rsid w:val="62385A6C"/>
    <w:rsid w:val="62730B8D"/>
    <w:rsid w:val="62876D77"/>
    <w:rsid w:val="62896BF3"/>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364F5F"/>
    <w:rsid w:val="65662197"/>
    <w:rsid w:val="658C79F9"/>
    <w:rsid w:val="65A14359"/>
    <w:rsid w:val="65A33DF6"/>
    <w:rsid w:val="65BE04E1"/>
    <w:rsid w:val="65F429F0"/>
    <w:rsid w:val="66000483"/>
    <w:rsid w:val="665A6FDB"/>
    <w:rsid w:val="66B368AE"/>
    <w:rsid w:val="66B532F3"/>
    <w:rsid w:val="66C2760F"/>
    <w:rsid w:val="675A3B6C"/>
    <w:rsid w:val="677C2796"/>
    <w:rsid w:val="67AF7DB6"/>
    <w:rsid w:val="680564C6"/>
    <w:rsid w:val="681B3F7A"/>
    <w:rsid w:val="68233428"/>
    <w:rsid w:val="68575061"/>
    <w:rsid w:val="686E1E5F"/>
    <w:rsid w:val="68B54AF7"/>
    <w:rsid w:val="68CA009F"/>
    <w:rsid w:val="68FC2229"/>
    <w:rsid w:val="695B5920"/>
    <w:rsid w:val="69B35A0D"/>
    <w:rsid w:val="69CC607C"/>
    <w:rsid w:val="69EA1163"/>
    <w:rsid w:val="69F96768"/>
    <w:rsid w:val="6A287F98"/>
    <w:rsid w:val="6AB40496"/>
    <w:rsid w:val="6ABD1D5E"/>
    <w:rsid w:val="6AE81CC5"/>
    <w:rsid w:val="6AF33939"/>
    <w:rsid w:val="6B717C12"/>
    <w:rsid w:val="6B795D62"/>
    <w:rsid w:val="6BC747F5"/>
    <w:rsid w:val="6BD238E6"/>
    <w:rsid w:val="6BD35CE4"/>
    <w:rsid w:val="6C3014BE"/>
    <w:rsid w:val="6C5D414F"/>
    <w:rsid w:val="6C635932"/>
    <w:rsid w:val="6C852870"/>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1609C4"/>
    <w:rsid w:val="734F0911"/>
    <w:rsid w:val="736054C4"/>
    <w:rsid w:val="736C572D"/>
    <w:rsid w:val="73964760"/>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351D89"/>
    <w:rsid w:val="7C6A6CA8"/>
    <w:rsid w:val="7C9307A3"/>
    <w:rsid w:val="7CE81F24"/>
    <w:rsid w:val="7CF04E00"/>
    <w:rsid w:val="7D41026F"/>
    <w:rsid w:val="7D59343F"/>
    <w:rsid w:val="7E0A78B3"/>
    <w:rsid w:val="7E2912F3"/>
    <w:rsid w:val="7F850D3B"/>
    <w:rsid w:val="7F901F3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三级条标题"/>
    <w:basedOn w:val="14"/>
    <w:next w:val="16"/>
    <w:qFormat/>
    <w:uiPriority w:val="0"/>
    <w:pPr>
      <w:numPr>
        <w:ilvl w:val="4"/>
        <w:numId w:val="1"/>
      </w:numPr>
      <w:outlineLvl w:val="4"/>
    </w:pPr>
  </w:style>
  <w:style w:type="paragraph" w:customStyle="1" w:styleId="14">
    <w:name w:val="二级条标题"/>
    <w:basedOn w:val="15"/>
    <w:next w:val="16"/>
    <w:qFormat/>
    <w:uiPriority w:val="0"/>
    <w:pPr>
      <w:numPr>
        <w:ilvl w:val="3"/>
        <w:numId w:val="1"/>
      </w:numPr>
      <w:outlineLvl w:val="3"/>
    </w:pPr>
  </w:style>
  <w:style w:type="paragraph" w:customStyle="1" w:styleId="15">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1113</Words>
  <Characters>6348</Characters>
  <Lines>52</Lines>
  <Paragraphs>14</Paragraphs>
  <TotalTime>0</TotalTime>
  <ScaleCrop>false</ScaleCrop>
  <LinksUpToDate>false</LinksUpToDate>
  <CharactersWithSpaces>7447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弓长</cp:lastModifiedBy>
  <dcterms:modified xsi:type="dcterms:W3CDTF">2021-01-19T07:44:31Z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