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南京申瑞电气系统控制有限公司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0760-2020-EO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张小民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13913918482 025-51181010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xiaomin.zhang@icpc.cn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r>
              <w:t>025-51181000</w:t>
            </w:r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E：系统集成服务，应用软件的开发服务，GER系列自动化控制设备的开发、生产、技术服务所涉及的相关环境管理活动</w:t>
            </w:r>
          </w:p>
          <w:p>
            <w:r>
              <w:t>O：系统集成服务，应用软件的开发服务，GER系列自动化控制设备的开发、生产、技术服务所涉及的相关职业健康安全管理活动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E：18.05.07;33.02.01;33.02.02;34.06.00</w:t>
            </w:r>
          </w:p>
          <w:p>
            <w:r>
              <w:t>O：18.05.07;33.02.01;33.02.02;34.06.00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2021年01月15日 上午至2021年01月16日 上午 (共1.5天)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E:18.05.07,33.02.01,33.02.02,34.06.00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O:18.05.07,33.02.01,33.02.02,34.06.00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18697572785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30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9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6" w:hRule="atLeast"/>
        </w:trPr>
        <w:tc>
          <w:tcPr>
            <w:tcW w:w="109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  <w:lang w:val="en-US" w:eastAsia="zh-CN"/>
              </w:rPr>
              <w:t>15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</w:p>
        </w:tc>
        <w:tc>
          <w:tcPr>
            <w:tcW w:w="13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8: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:00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合同基本信息确认: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核对资质证书（营业执照、生产（安全）许可证、行业许可证、3C证书等）原件和复印件/扫描件的一致性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确定审核范围的合理性（地址、产品/服务）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确定多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现场</w:t>
            </w:r>
            <w:r>
              <w:rPr>
                <w:rFonts w:hint="eastAsia" w:ascii="宋体" w:hAnsi="宋体" w:cs="宋体"/>
                <w:sz w:val="18"/>
                <w:szCs w:val="18"/>
              </w:rPr>
              <w:t>和临时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现场</w:t>
            </w:r>
            <w:r>
              <w:rPr>
                <w:rFonts w:hint="eastAsia" w:ascii="宋体" w:hAnsi="宋体" w:cs="宋体"/>
                <w:sz w:val="18"/>
                <w:szCs w:val="18"/>
              </w:rPr>
              <w:t>的地址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确定有效的员工人数 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生产、服务的班次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体系运行时间是否满足3个月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A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了解企业基本情况：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组织环境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主要的相关方和期望 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风险的识别和评价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组织机构的设置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外部提供过程、产品和服务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被主管部门处罚和曝光情况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其他机构转入情况（适用时）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文件化体系策划情况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 管理手册；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 文件化的程序；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 作业文件；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 记录表格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各管理体系的运行情况：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管理方针制定与贯彻情况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管理目标及完成统计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相关方/客户的反馈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内审的策划和实施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管理体系的评审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对多场所/临时场所建立的控制的水平（适用时）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shd w:val="clear" w:color="auto" w:fill="DAEEF3" w:themeFill="accent5" w:themeFillTint="33"/>
            <w:vAlign w:val="center"/>
          </w:tcPr>
          <w:p>
            <w:pPr>
              <w:widowControl/>
              <w:spacing w:before="4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0-1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午餐休息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spacing w:before="40"/>
              <w:ind w:left="277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 w:val="restart"/>
            <w:shd w:val="clear" w:color="auto" w:fill="DAEEF3" w:themeFill="accent5" w:themeFillTint="33"/>
            <w:vAlign w:val="center"/>
          </w:tcPr>
          <w:p>
            <w:pPr>
              <w:widowControl/>
              <w:spacing w:before="4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0-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17:00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OHSMS运行情况：</w:t>
            </w:r>
          </w:p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 查看危险源的辨识和评价程序合理性</w:t>
            </w:r>
          </w:p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 了解重要危险源的辨识和控制措施 </w:t>
            </w:r>
          </w:p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 了解适用的职业健康安全法律和其他要求的获取、识别程序实施情况和合规性评价 </w:t>
            </w:r>
          </w:p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 查看合规性证明（安全评估、职业病评估、作业场所监测、）</w:t>
            </w:r>
          </w:p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 了解三级安全教育的实施</w:t>
            </w:r>
          </w:p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 了解职业病体检的情况</w:t>
            </w:r>
          </w:p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 了解危险化学品的种类及MSDS</w:t>
            </w:r>
          </w:p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 了解消防控制方法（消防备案或消防验收）</w:t>
            </w:r>
          </w:p>
          <w:p>
            <w:pPr>
              <w:widowControl/>
              <w:spacing w:before="40"/>
              <w:ind w:left="277" w:leftChars="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 了解应急准备和响应情况 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</w:p>
        </w:tc>
        <w:tc>
          <w:tcPr>
            <w:tcW w:w="1309" w:type="dxa"/>
            <w:vMerge w:val="continue"/>
            <w:tcBorders/>
            <w:shd w:val="clear" w:color="auto" w:fill="DAEEF3" w:themeFill="accent5" w:themeFillTint="33"/>
            <w:vAlign w:val="center"/>
          </w:tcPr>
          <w:p>
            <w:pPr>
              <w:widowControl/>
              <w:spacing w:before="40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EMS运行情况：</w:t>
            </w:r>
          </w:p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 查看地理位置图、污水管网图（适用时）</w:t>
            </w:r>
          </w:p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 了解主要资源和能源使用种类</w:t>
            </w:r>
          </w:p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 查看环境因素的识别和评价程序合理性 </w:t>
            </w:r>
          </w:p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 了解重要环境因素的和控制措施</w:t>
            </w:r>
          </w:p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 了解适用的环境法律和其他要求的获取、识别程序实施情况和合规性评价</w:t>
            </w:r>
          </w:p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 查看合规性证明（98年后新扩建的环评验收、环境监测报告）</w:t>
            </w:r>
          </w:p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 了解危险化学品的种类及MSDS</w:t>
            </w:r>
          </w:p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 了解危险废弃物的处置</w:t>
            </w:r>
          </w:p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 了解消防控制方法（消防备案或消防验收）</w:t>
            </w:r>
          </w:p>
          <w:p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 了解应急准备和响应情况</w:t>
            </w:r>
            <w:bookmarkStart w:id="14" w:name="_GoBack"/>
            <w:bookmarkEnd w:id="14"/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spacing w:before="40"/>
              <w:ind w:left="277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91" w:type="dxa"/>
            <w:vMerge w:val="restart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  <w:lang w:val="en-US" w:eastAsia="zh-CN"/>
              </w:rPr>
              <w:t>16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</w:p>
        </w:tc>
        <w:tc>
          <w:tcPr>
            <w:tcW w:w="1309" w:type="dxa"/>
            <w:shd w:val="clear" w:color="auto" w:fill="DAEEF3" w:themeFill="accent5" w:themeFillTint="33"/>
            <w:vAlign w:val="center"/>
          </w:tcPr>
          <w:p>
            <w:pPr>
              <w:widowControl/>
              <w:spacing w:before="40"/>
              <w:jc w:val="left"/>
              <w:rPr>
                <w:rFonts w:hint="default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0-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现场</w:t>
            </w:r>
            <w:r>
              <w:rPr>
                <w:rFonts w:hint="eastAsia"/>
                <w:b/>
                <w:bCs/>
                <w:sz w:val="21"/>
                <w:szCs w:val="21"/>
              </w:rPr>
              <w:t>巡查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-巡视生产区域（厂区、车间、库房、实验室等）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-确认生产/服务流程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-观察基础设施（生产设备、环保设备、安全装置/手持电动工具等）运行完好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-观察质量相关的监视和测量设备的种类并了解检定/校准情况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-观察使用特种设备的种类并了解定期检测和备案登记情况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-巡视动力设施和辅助设施（污水处理站、锅炉房、高低压配电室、空压站、制冷站、消防中控室、消防泵房、除尘装置、尾气处理、危化品库房、危险废弃物存放处、改建/扩建施工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现场</w:t>
            </w:r>
            <w:r>
              <w:rPr>
                <w:rFonts w:hint="eastAsia" w:ascii="宋体" w:hAnsi="宋体" w:cs="宋体"/>
                <w:sz w:val="18"/>
                <w:szCs w:val="18"/>
              </w:rPr>
              <w:t>、食堂、宿舍、班车等）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-观察总排口是否存在明显违规现象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-观察员工劳保用品的佩戴情况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-了解是否存在室外作业的情况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-观察工作环境（清洁、消毒、虫害防治等）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-依据平面布置图、生产流程图，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现场</w:t>
            </w:r>
            <w:r>
              <w:rPr>
                <w:rFonts w:hint="eastAsia" w:ascii="宋体" w:hAnsi="宋体" w:cs="宋体"/>
                <w:sz w:val="18"/>
                <w:szCs w:val="18"/>
              </w:rPr>
              <w:t>了解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现场</w:t>
            </w:r>
            <w:r>
              <w:rPr>
                <w:rFonts w:hint="eastAsia" w:ascii="宋体" w:hAnsi="宋体" w:cs="宋体"/>
                <w:sz w:val="18"/>
                <w:szCs w:val="18"/>
              </w:rPr>
              <w:t>布局、产品实现过程，确认食品安全控制措施（工艺技术、产品标准）的合理性、实施的有效性。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-确认生产和辅助设施配备的充分性，检验设备和检验能力的充分性。</w:t>
            </w:r>
          </w:p>
          <w:p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-仓库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现场</w:t>
            </w:r>
            <w:r>
              <w:rPr>
                <w:rFonts w:hint="eastAsia" w:ascii="宋体" w:hAnsi="宋体" w:cs="宋体"/>
                <w:sz w:val="18"/>
                <w:szCs w:val="18"/>
              </w:rPr>
              <w:t>。</w:t>
            </w:r>
          </w:p>
          <w:p>
            <w:pPr>
              <w:widowControl/>
              <w:spacing w:before="40" w:line="300" w:lineRule="exact"/>
              <w:ind w:left="278" w:leftChars="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-标识、追溯计划、产品召回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spacing w:before="40"/>
              <w:ind w:left="277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  <w:lang w:val="en-US" w:eastAsia="zh-CN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FDE9D9" w:themeFill="accent6" w:themeFillTint="33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A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71008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3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弓长</cp:lastModifiedBy>
  <cp:lastPrinted>2019-03-27T03:10:00Z</cp:lastPrinted>
  <dcterms:modified xsi:type="dcterms:W3CDTF">2021-01-14T05:51:22Z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