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受审核方：重庆潍鑫实业有限公司</w:t>
      </w:r>
    </w:p>
    <w:p>
      <w:pPr>
        <w:snapToGrid w:val="0"/>
        <w:spacing w:afterLines="3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Style w:val="8"/>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ind w:firstLine="2512" w:firstLineChars="695"/>
        <w:jc w:val="left"/>
        <w:rPr>
          <w:rFonts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2019-N1QMS-3093566</w:t>
            </w:r>
          </w:p>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728" w:type="dxa"/>
            <w:gridSpan w:val="2"/>
            <w:vAlign w:val="center"/>
          </w:tcPr>
          <w:p>
            <w:pPr>
              <w:jc w:val="center"/>
              <w:rPr>
                <w:b/>
                <w:sz w:val="21"/>
                <w:szCs w:val="21"/>
              </w:rPr>
            </w:pPr>
            <w:r>
              <w:rPr>
                <w:b/>
                <w:sz w:val="21"/>
                <w:szCs w:val="21"/>
              </w:rPr>
              <w:t>Q:17.06.01,29.12.00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tc>
        <w:tc>
          <w:tcPr>
            <w:tcW w:w="1699" w:type="dxa"/>
            <w:vAlign w:val="center"/>
          </w:tcPr>
          <w:p>
            <w:pPr>
              <w:jc w:val="center"/>
              <w:rPr>
                <w:b/>
                <w:sz w:val="21"/>
                <w:szCs w:val="21"/>
              </w:rPr>
            </w:pPr>
            <w:r>
              <w:rPr>
                <w:b/>
                <w:sz w:val="21"/>
                <w:szCs w:val="21"/>
              </w:rPr>
              <w:t>2018-N1QMS-2207381</w:t>
            </w:r>
          </w:p>
          <w:p>
            <w:pPr>
              <w:jc w:val="center"/>
              <w:rPr>
                <w:b/>
                <w:sz w:val="21"/>
                <w:szCs w:val="21"/>
              </w:rPr>
            </w:pPr>
            <w:r>
              <w:rPr>
                <w:b/>
                <w:sz w:val="21"/>
                <w:szCs w:val="21"/>
              </w:rPr>
              <w:t>2020-N0EMS-1207381</w:t>
            </w:r>
          </w:p>
        </w:tc>
        <w:tc>
          <w:tcPr>
            <w:tcW w:w="1728" w:type="dxa"/>
            <w:gridSpan w:val="2"/>
            <w:vAlign w:val="center"/>
          </w:tcPr>
          <w:p>
            <w:pPr>
              <w:jc w:val="center"/>
              <w:rPr>
                <w:b/>
                <w:sz w:val="21"/>
                <w:szCs w:val="21"/>
              </w:rPr>
            </w:pPr>
            <w:r>
              <w:rPr>
                <w:b/>
                <w:sz w:val="21"/>
                <w:szCs w:val="21"/>
              </w:rPr>
              <w:t>Q:17.06.01,29.12.00</w:t>
            </w:r>
          </w:p>
          <w:p>
            <w:pPr>
              <w:jc w:val="center"/>
              <w:rPr>
                <w:b/>
                <w:sz w:val="21"/>
                <w:szCs w:val="21"/>
              </w:rPr>
            </w:pPr>
            <w:r>
              <w:rPr>
                <w:b/>
                <w:sz w:val="21"/>
                <w:szCs w:val="21"/>
              </w:rPr>
              <w:t>E:29.12.00</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2020-N1QMS-1262293</w:t>
            </w:r>
          </w:p>
          <w:p>
            <w:pPr>
              <w:jc w:val="center"/>
              <w:rPr>
                <w:b/>
                <w:sz w:val="21"/>
                <w:szCs w:val="21"/>
              </w:rPr>
            </w:pPr>
            <w:r>
              <w:rPr>
                <w:b/>
                <w:sz w:val="21"/>
                <w:szCs w:val="21"/>
              </w:rPr>
              <w:t>2020-N1EMS-1262293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陈伟</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tc>
        <w:tc>
          <w:tcPr>
            <w:tcW w:w="1699" w:type="dxa"/>
            <w:vAlign w:val="center"/>
          </w:tcPr>
          <w:p>
            <w:pPr>
              <w:jc w:val="center"/>
              <w:rPr>
                <w:b/>
                <w:sz w:val="21"/>
                <w:szCs w:val="21"/>
              </w:rPr>
            </w:pPr>
            <w:r>
              <w:rPr>
                <w:b/>
                <w:sz w:val="21"/>
                <w:szCs w:val="21"/>
              </w:rPr>
              <w:t>2020-N1QMS-1265256</w:t>
            </w:r>
          </w:p>
          <w:p>
            <w:pPr>
              <w:jc w:val="center"/>
              <w:rPr>
                <w:b/>
                <w:sz w:val="21"/>
                <w:szCs w:val="21"/>
              </w:rPr>
            </w:pPr>
            <w:r>
              <w:rPr>
                <w:b/>
                <w:sz w:val="21"/>
                <w:szCs w:val="21"/>
              </w:rPr>
              <w:t>2020-N0EMS-1265256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胡帅</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Q:专家</w:t>
            </w:r>
          </w:p>
          <w:p>
            <w:pPr>
              <w:jc w:val="center"/>
              <w:rPr>
                <w:b/>
                <w:sz w:val="21"/>
                <w:szCs w:val="21"/>
              </w:rPr>
            </w:pPr>
          </w:p>
        </w:tc>
        <w:tc>
          <w:tcPr>
            <w:tcW w:w="1699" w:type="dxa"/>
            <w:vAlign w:val="center"/>
          </w:tcPr>
          <w:p>
            <w:pPr>
              <w:jc w:val="center"/>
              <w:rPr>
                <w:b/>
                <w:sz w:val="21"/>
                <w:szCs w:val="21"/>
              </w:rPr>
            </w:pPr>
            <w:r>
              <w:rPr>
                <w:b/>
                <w:sz w:val="21"/>
                <w:szCs w:val="21"/>
              </w:rPr>
              <w:t>ISC-JSZJ-241</w:t>
            </w:r>
          </w:p>
          <w:p>
            <w:pPr>
              <w:jc w:val="center"/>
              <w:rPr>
                <w:b/>
                <w:sz w:val="21"/>
                <w:szCs w:val="21"/>
              </w:rPr>
            </w:pPr>
            <w:r>
              <w:rPr>
                <w:b/>
                <w:sz w:val="21"/>
                <w:szCs w:val="21"/>
              </w:rPr>
              <w:t>北碚东阳汽车修理厂</w:t>
            </w:r>
          </w:p>
        </w:tc>
        <w:tc>
          <w:tcPr>
            <w:tcW w:w="1728" w:type="dxa"/>
            <w:gridSpan w:val="2"/>
            <w:vAlign w:val="center"/>
          </w:tcPr>
          <w:p>
            <w:pPr>
              <w:jc w:val="center"/>
              <w:rPr>
                <w:b/>
                <w:sz w:val="21"/>
                <w:szCs w:val="21"/>
              </w:rPr>
            </w:pPr>
            <w:r>
              <w:rPr>
                <w:b/>
                <w:sz w:val="21"/>
                <w:szCs w:val="21"/>
              </w:rPr>
              <w:t>Q:29.02.00</w:t>
            </w:r>
          </w:p>
        </w:tc>
        <w:tc>
          <w:tcPr>
            <w:tcW w:w="1729" w:type="dxa"/>
            <w:gridSpan w:val="2"/>
            <w:vAlign w:val="center"/>
          </w:tcPr>
          <w:p>
            <w:pPr>
              <w:jc w:val="center"/>
              <w:rPr>
                <w:b/>
                <w:sz w:val="21"/>
                <w:szCs w:val="21"/>
              </w:rPr>
            </w:pPr>
            <w:r>
              <w:rPr>
                <w:b/>
                <w:sz w:val="21"/>
                <w:szCs w:val="21"/>
              </w:rPr>
              <w:t>ISC-JSZJ-241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b/>
          <w:sz w:val="21"/>
          <w:szCs w:val="21"/>
        </w:rPr>
      </w:pPr>
      <w:r>
        <w:rPr>
          <w:rFonts w:hint="eastAsia" w:ascii="黑体" w:hAnsi="黑体" w:eastAsia="黑体" w:cs="黑体"/>
          <w:b/>
          <w:sz w:val="21"/>
          <w:szCs w:val="21"/>
        </w:rPr>
        <w:t>■</w:t>
      </w:r>
      <w:r>
        <w:rPr>
          <w:rFonts w:hint="eastAsia"/>
          <w:b/>
          <w:sz w:val="21"/>
          <w:szCs w:val="21"/>
        </w:rPr>
        <w:t>保持认证注册资格：__________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ascii="黑体" w:hAnsi="黑体" w:eastAsia="黑体" w:cs="黑体"/>
          <w:b/>
          <w:sz w:val="21"/>
          <w:szCs w:val="21"/>
        </w:rPr>
        <w:t>■</w:t>
      </w:r>
      <w:r>
        <w:rPr>
          <w:rFonts w:hint="eastAsia"/>
          <w:b/>
          <w:sz w:val="21"/>
          <w:szCs w:val="21"/>
        </w:rPr>
        <w:t>受审核方管理体系文件</w:t>
      </w:r>
      <w:r>
        <w:rPr>
          <w:rFonts w:hint="eastAsia" w:ascii="黑体" w:hAnsi="黑体" w:eastAsia="黑体" w:cs="黑体"/>
          <w:b/>
          <w:sz w:val="21"/>
          <w:szCs w:val="21"/>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sz w:val="21"/>
              </w:rPr>
            </w:pPr>
            <w:bookmarkStart w:id="9" w:name="组织名称Add"/>
            <w:r>
              <w:rPr>
                <w:rFonts w:ascii="宋体"/>
                <w:b/>
                <w:sz w:val="21"/>
              </w:rPr>
              <w:t>重庆潍鑫实业有限公司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hint="eastAsia" w:ascii="宋体"/>
                <w:b/>
                <w:sz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重庆市北碚区蔡家岗街道三溪村槽房社</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400700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重庆市江北区大石坝大庆村柏树新村1号</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400021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重庆市北碚区蔡家岗街道三溪村槽房社</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400700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hint="eastAsia" w:ascii="宋体" w:eastAsia="宋体"/>
                <w:b/>
                <w:sz w:val="21"/>
                <w:lang w:eastAsia="zh-CN"/>
              </w:rPr>
            </w:pPr>
            <w:r>
              <w:rPr>
                <w:rFonts w:hint="eastAsia" w:ascii="宋体"/>
                <w:b/>
                <w:sz w:val="21"/>
                <w:lang w:eastAsia="zh-CN"/>
              </w:rPr>
              <w:t>周川琳</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023-68307688</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8" w:name="法人"/>
            <w:r>
              <w:rPr>
                <w:rFonts w:ascii="宋体" w:hAnsi="宋体"/>
                <w:b/>
                <w:sz w:val="21"/>
                <w:szCs w:val="21"/>
              </w:rPr>
              <w:t>赵宗美</w:t>
            </w:r>
            <w:bookmarkEnd w:id="18"/>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bookmarkStart w:id="25" w:name="_GoBack"/>
            <w:bookmarkEnd w:id="25"/>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谭韦韦</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2021年01月17日 上午至2021年01月17日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黑体" w:hAnsi="黑体" w:eastAsia="黑体" w:cs="黑体"/>
                <w:b/>
                <w:sz w:val="21"/>
                <w:szCs w:val="21"/>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ascii="宋体" w:hAnsi="宋体"/>
                <w:b/>
                <w:sz w:val="21"/>
                <w:szCs w:val="21"/>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：野营房、石油机械(常压储罐)、钢结构件房架的制造及相关服务；资质范围内汽车维修；机电产品(发电机、防爆电机、减速器、清水泵、污水泵、液下泵、生活用水泵、切割机)、仪器仪表、钢材、空调的销售</w:t>
            </w:r>
          </w:p>
          <w:p>
            <w:pPr>
              <w:spacing w:line="360" w:lineRule="exact"/>
              <w:rPr>
                <w:rFonts w:ascii="宋体" w:hAnsi="宋体"/>
                <w:b/>
                <w:sz w:val="21"/>
                <w:szCs w:val="21"/>
              </w:rPr>
            </w:pPr>
            <w:bookmarkStart w:id="22" w:name="E勾选Add1"/>
            <w:r>
              <w:rPr>
                <w:rFonts w:hint="eastAsia" w:ascii="宋体" w:hAnsi="宋体"/>
                <w:b/>
                <w:sz w:val="21"/>
                <w:szCs w:val="21"/>
              </w:rPr>
              <w:t>■</w:t>
            </w:r>
            <w:bookmarkEnd w:id="22"/>
            <w:r>
              <w:rPr>
                <w:rFonts w:ascii="宋体" w:hAnsi="宋体"/>
                <w:b/>
                <w:sz w:val="21"/>
                <w:szCs w:val="21"/>
              </w:rPr>
              <w:t>EMS</w:t>
            </w:r>
            <w:r>
              <w:rPr>
                <w:rFonts w:hint="eastAsia" w:ascii="宋体" w:hAnsi="宋体"/>
                <w:b/>
                <w:sz w:val="21"/>
                <w:szCs w:val="21"/>
              </w:rPr>
              <w:t>：野营房销售及服务；机电产品、仪器仪表、钢材销售所涉及场所的相关环境管理活动</w:t>
            </w:r>
          </w:p>
          <w:p>
            <w:pPr>
              <w:spacing w:line="360" w:lineRule="exact"/>
              <w:rPr>
                <w:rFonts w:ascii="宋体" w:hAnsi="宋体"/>
                <w:b/>
                <w:sz w:val="21"/>
                <w:szCs w:val="21"/>
              </w:rPr>
            </w:pPr>
            <w:bookmarkStart w:id="23" w:name="S勾选Add2"/>
            <w:r>
              <w:rPr>
                <w:rFonts w:hint="eastAsia" w:ascii="宋体" w:hAnsi="宋体"/>
                <w:b/>
                <w:sz w:val="21"/>
                <w:szCs w:val="21"/>
              </w:rPr>
              <w:t>■</w:t>
            </w:r>
            <w:bookmarkEnd w:id="23"/>
            <w:r>
              <w:rPr>
                <w:rFonts w:ascii="宋体" w:hAnsi="宋体"/>
                <w:b/>
                <w:sz w:val="21"/>
                <w:szCs w:val="21"/>
              </w:rPr>
              <w:t>OHSMS</w:t>
            </w:r>
            <w:r>
              <w:rPr>
                <w:rFonts w:hint="eastAsia" w:ascii="宋体" w:hAnsi="宋体"/>
                <w:b/>
                <w:sz w:val="21"/>
                <w:szCs w:val="21"/>
              </w:rPr>
              <w:t>：野营房销售及服务；机电产品、仪器仪表、钢材销售所涉及场所的相关职业健康安全管理活动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黑体" w:hAnsi="黑体" w:eastAsia="黑体" w:cs="黑体"/>
                <w:b/>
                <w:sz w:val="21"/>
                <w:szCs w:val="21"/>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b/>
                <w:sz w:val="21"/>
                <w:szCs w:val="21"/>
              </w:rPr>
              <w:t>■</w:t>
            </w:r>
            <w:r>
              <w:rPr>
                <w:rFonts w:ascii="宋体" w:hAnsi="宋体"/>
                <w:b/>
                <w:sz w:val="21"/>
                <w:szCs w:val="21"/>
              </w:rPr>
              <w:t>QMS</w:t>
            </w:r>
            <w:r>
              <w:rPr>
                <w:rFonts w:hint="eastAsia" w:ascii="宋体" w:hAnsi="宋体"/>
                <w:b/>
                <w:sz w:val="21"/>
                <w:szCs w:val="21"/>
              </w:rPr>
              <w:t>：野营房、石油机械(常压储罐)、钢结构件房架的制造及相关服务；资质范围内汽车维修；机电产品(发电机、防爆电机、减速器、清水泵、污水泵、液下泵、生活用水泵、切割机)、仪器仪表、钢材、空调的销售</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Q：17.06.01;29.02.00;29.12.00</w:t>
            </w:r>
          </w:p>
          <w:p>
            <w:pPr>
              <w:spacing w:line="260" w:lineRule="exact"/>
              <w:rPr>
                <w:rFonts w:ascii="宋体" w:hAnsi="宋体"/>
                <w:b/>
                <w:sz w:val="21"/>
                <w:szCs w:val="21"/>
              </w:rPr>
            </w:pPr>
            <w:r>
              <w:rPr>
                <w:rFonts w:ascii="宋体" w:hAnsi="宋体"/>
                <w:b/>
                <w:sz w:val="21"/>
                <w:szCs w:val="21"/>
              </w:rPr>
              <w:t>E：29.12.00</w:t>
            </w:r>
          </w:p>
          <w:p>
            <w:pPr>
              <w:spacing w:line="260" w:lineRule="exact"/>
              <w:rPr>
                <w:rFonts w:ascii="宋体" w:hAnsi="宋体"/>
                <w:b/>
                <w:sz w:val="21"/>
                <w:szCs w:val="21"/>
              </w:rPr>
            </w:pPr>
            <w:r>
              <w:rPr>
                <w:rFonts w:ascii="宋体" w:hAnsi="宋体"/>
                <w:b/>
                <w:sz w:val="21"/>
                <w:szCs w:val="21"/>
              </w:rPr>
              <w:t>O：29.12.00</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2022-02-28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b/>
                <w:sz w:val="21"/>
              </w:rPr>
              <w:t>2019-02-09 -- 2019-02-11</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本次审核覆盖时间：从上次审核结束日的2019年2月11日至2021年1月17日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黑体" w:hAnsi="黑体" w:eastAsia="黑体" w:cs="黑体"/>
          <w:b/>
          <w:sz w:val="21"/>
          <w:szCs w:val="21"/>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 xml:space="preserve">、组织及其环境的识别情况 </w:t>
            </w:r>
          </w:p>
          <w:p>
            <w:pPr>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cs="宋体"/>
                <w:bCs/>
                <w:sz w:val="21"/>
                <w:szCs w:val="21"/>
              </w:rPr>
              <w:t>组织对内外部因素、相关方需求和期望进行了充分的识别，策划和实施有效。组织确定了体系的边界，基本适用。管理体系全条款适用。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 xml:space="preserve">、相关方需求和期望识别情况  </w:t>
            </w:r>
          </w:p>
          <w:p>
            <w:pPr>
              <w:spacing w:line="240" w:lineRule="exact"/>
              <w:rPr>
                <w:rFonts w:ascii="宋体" w:hAnsi="宋体"/>
                <w:b/>
                <w:sz w:val="21"/>
                <w:szCs w:val="21"/>
              </w:rPr>
            </w:pPr>
            <w:r>
              <w:rPr>
                <w:rFonts w:hint="eastAsia" w:ascii="宋体" w:hAnsi="宋体" w:cs="宋体"/>
                <w:bCs/>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3.</w:t>
            </w:r>
            <w:r>
              <w:rPr>
                <w:rFonts w:hint="eastAsia" w:ascii="黑体" w:hAnsi="黑体" w:eastAsia="黑体" w:cs="黑体"/>
                <w:b/>
                <w:sz w:val="21"/>
                <w:szCs w:val="21"/>
              </w:rPr>
              <w:t>■</w:t>
            </w:r>
            <w:r>
              <w:rPr>
                <w:rFonts w:hint="eastAsia" w:ascii="宋体" w:hAnsi="宋体"/>
                <w:b/>
                <w:sz w:val="21"/>
                <w:szCs w:val="21"/>
              </w:rPr>
              <w:t>质量</w:t>
            </w:r>
            <w:r>
              <w:rPr>
                <w:rFonts w:ascii="宋体" w:hAnsi="宋体"/>
                <w:b/>
                <w:sz w:val="21"/>
                <w:szCs w:val="21"/>
              </w:rPr>
              <w:t>/</w:t>
            </w:r>
            <w:r>
              <w:rPr>
                <w:rFonts w:hint="eastAsia" w:ascii="黑体" w:hAnsi="黑体" w:eastAsia="黑体" w:cs="黑体"/>
                <w:b/>
                <w:sz w:val="21"/>
                <w:szCs w:val="21"/>
              </w:rPr>
              <w:t>■</w:t>
            </w:r>
            <w:r>
              <w:rPr>
                <w:rFonts w:hint="eastAsia" w:ascii="宋体" w:hAnsi="宋体"/>
                <w:b/>
                <w:sz w:val="21"/>
                <w:szCs w:val="21"/>
              </w:rPr>
              <w:t>环境</w:t>
            </w:r>
            <w:r>
              <w:rPr>
                <w:rFonts w:ascii="宋体" w:hAnsi="宋体"/>
                <w:b/>
                <w:sz w:val="21"/>
                <w:szCs w:val="21"/>
              </w:rPr>
              <w:t>/</w:t>
            </w:r>
            <w:r>
              <w:rPr>
                <w:rFonts w:hint="eastAsia" w:ascii="黑体" w:hAnsi="黑体" w:eastAsia="黑体" w:cs="黑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80" w:lineRule="exact"/>
              <w:rPr>
                <w:rFonts w:ascii="宋体" w:hAnsi="宋体"/>
                <w:b/>
                <w:sz w:val="21"/>
                <w:szCs w:val="21"/>
              </w:rPr>
            </w:pPr>
            <w:r>
              <w:rPr>
                <w:rFonts w:hint="eastAsia" w:ascii="宋体" w:hAnsi="宋体" w:cs="宋体"/>
                <w:bCs/>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质量环境职业健康安全方针： “科学管理、环保节能、遵纪守法、持续改进”。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 xml:space="preserve">、风险识别与控制策划 </w:t>
            </w:r>
          </w:p>
          <w:p>
            <w:pPr>
              <w:spacing w:line="280" w:lineRule="exact"/>
              <w:rPr>
                <w:rFonts w:ascii="宋体" w:hAnsi="宋体"/>
                <w:b/>
                <w:sz w:val="21"/>
                <w:szCs w:val="21"/>
              </w:rPr>
            </w:pPr>
            <w:r>
              <w:rPr>
                <w:rFonts w:hint="eastAsia" w:ascii="宋体" w:hAnsi="宋体" w:cs="宋体"/>
                <w:bCs/>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7"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r>
              <w:rPr>
                <w:rFonts w:hint="eastAsia" w:ascii="宋体" w:hAnsi="宋体"/>
                <w:b/>
                <w:color w:val="000000" w:themeColor="text1"/>
                <w:sz w:val="20"/>
              </w:rPr>
              <w:t>合同评审、生产管理过程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其中关键过程有：焊接、喷漆</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需要确认过程：焊接过程、喷漆过程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删减条款是，8.3删减理由：公司不提供设计新销售、维修服务的要求，本公司所销售和维修的产品均按照客户要求进行，整个经营过程不涉及设计开发的内容。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黑体" w:hAnsi="黑体" w:eastAsia="黑体" w:cs="黑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cs="宋体"/>
                <w:b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黑体" w:hAnsi="黑体" w:eastAsia="黑体" w:cs="黑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cs="宋体"/>
                <w:bCs/>
                <w:sz w:val="21"/>
                <w:szCs w:val="21"/>
              </w:rPr>
              <w:t>组织建立了危险源识别、评价控制程序，识别评价了危险源、风险相关的过程，评价出了重要危险源，与之相关的过程有销售过程，针对重要危险源制定了管理方案。控制措施实施有效。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黑体" w:hAnsi="黑体" w:eastAsia="黑体" w:cs="黑体"/>
                <w:b/>
                <w:szCs w:val="21"/>
              </w:rPr>
              <w:t>■</w:t>
            </w:r>
            <w:r>
              <w:rPr>
                <w:rFonts w:hint="eastAsia" w:ascii="宋体" w:hAnsi="宋体"/>
                <w:b/>
                <w:szCs w:val="21"/>
              </w:rPr>
              <w:t>法律法规获取充分</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黑体" w:hAnsi="黑体" w:eastAsia="黑体" w:cs="黑体"/>
                <w:b/>
                <w:szCs w:val="21"/>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黑体" w:hAnsi="黑体" w:eastAsia="黑体" w:cs="黑体"/>
                <w:b/>
                <w:szCs w:val="21"/>
              </w:rPr>
              <w:t>■</w:t>
            </w:r>
            <w:r>
              <w:rPr>
                <w:rFonts w:hint="eastAsia" w:ascii="宋体" w:hAnsi="宋体"/>
                <w:b/>
                <w:szCs w:val="21"/>
              </w:rPr>
              <w:t>环境因素</w:t>
            </w:r>
            <w:r>
              <w:rPr>
                <w:rFonts w:hint="eastAsia" w:ascii="黑体" w:hAnsi="黑体" w:eastAsia="黑体" w:cs="黑体"/>
                <w:b/>
                <w:szCs w:val="21"/>
              </w:rPr>
              <w:t>■</w:t>
            </w:r>
            <w:r>
              <w:rPr>
                <w:rFonts w:hint="eastAsia" w:ascii="宋体" w:hAnsi="宋体"/>
                <w:b/>
                <w:szCs w:val="21"/>
              </w:rPr>
              <w:t>危险源，</w:t>
            </w:r>
            <w:r>
              <w:rPr>
                <w:rFonts w:hint="eastAsia" w:ascii="黑体" w:hAnsi="黑体" w:eastAsia="黑体" w:cs="黑体"/>
                <w:b/>
                <w:szCs w:val="21"/>
              </w:rPr>
              <w:t>■</w:t>
            </w:r>
            <w:r>
              <w:rPr>
                <w:rFonts w:hint="eastAsia" w:ascii="宋体" w:hAnsi="宋体"/>
                <w:b/>
                <w:szCs w:val="21"/>
              </w:rPr>
              <w:t>确定□未确定法律法规要求的具体条款，</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法律法规的宣传方式：微信、会议等</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tabs>
                <w:tab w:val="left" w:pos="540"/>
              </w:tabs>
              <w:spacing w:line="240" w:lineRule="exact"/>
              <w:rPr>
                <w:rFonts w:ascii="宋体" w:hAnsi="宋体" w:cs="宋体"/>
                <w:sz w:val="21"/>
                <w:szCs w:val="21"/>
              </w:rPr>
            </w:pPr>
            <w:r>
              <w:rPr>
                <w:rFonts w:hint="eastAsia" w:ascii="宋体" w:hAnsi="宋体" w:cs="宋体"/>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tabs>
                <w:tab w:val="left" w:pos="540"/>
              </w:tabs>
              <w:spacing w:line="240" w:lineRule="exact"/>
              <w:rPr>
                <w:rFonts w:ascii="宋体" w:hAnsi="宋体" w:cs="宋体"/>
                <w:sz w:val="21"/>
                <w:szCs w:val="21"/>
              </w:rPr>
            </w:pPr>
            <w:r>
              <w:rPr>
                <w:rFonts w:hint="eastAsia" w:ascii="宋体" w:hAnsi="宋体" w:cs="宋体"/>
                <w:sz w:val="21"/>
                <w:szCs w:val="21"/>
              </w:rPr>
              <w:t>质量、环境、职业健康安全目标：</w:t>
            </w:r>
          </w:p>
          <w:p>
            <w:pPr>
              <w:tabs>
                <w:tab w:val="left" w:pos="540"/>
              </w:tabs>
              <w:spacing w:line="240" w:lineRule="exact"/>
              <w:rPr>
                <w:rFonts w:ascii="宋体" w:hAnsi="宋体" w:cs="宋体"/>
                <w:sz w:val="21"/>
                <w:szCs w:val="21"/>
              </w:rPr>
            </w:pPr>
            <w:r>
              <w:rPr>
                <w:rFonts w:hint="eastAsia" w:ascii="宋体" w:hAnsi="宋体" w:cs="宋体"/>
                <w:sz w:val="21"/>
                <w:szCs w:val="21"/>
              </w:rPr>
              <w:t>1顾客满意度达80分以上</w:t>
            </w:r>
          </w:p>
          <w:p>
            <w:pPr>
              <w:tabs>
                <w:tab w:val="left" w:pos="540"/>
              </w:tabs>
              <w:spacing w:line="240" w:lineRule="exact"/>
              <w:rPr>
                <w:rFonts w:ascii="宋体" w:hAnsi="宋体" w:cs="宋体"/>
                <w:sz w:val="21"/>
                <w:szCs w:val="21"/>
              </w:rPr>
            </w:pPr>
            <w:r>
              <w:rPr>
                <w:rFonts w:hint="eastAsia" w:ascii="宋体" w:hAnsi="宋体" w:cs="宋体"/>
                <w:sz w:val="21"/>
                <w:szCs w:val="21"/>
              </w:rPr>
              <w:t>2产品交付合格率100%</w:t>
            </w:r>
          </w:p>
          <w:p>
            <w:pPr>
              <w:tabs>
                <w:tab w:val="left" w:pos="540"/>
              </w:tabs>
              <w:spacing w:line="240" w:lineRule="exact"/>
              <w:rPr>
                <w:rFonts w:ascii="宋体" w:hAnsi="宋体" w:cs="宋体"/>
                <w:sz w:val="21"/>
                <w:szCs w:val="21"/>
              </w:rPr>
            </w:pPr>
            <w:r>
              <w:rPr>
                <w:rFonts w:hint="eastAsia" w:ascii="宋体" w:hAnsi="宋体" w:cs="宋体"/>
                <w:sz w:val="21"/>
                <w:szCs w:val="21"/>
              </w:rPr>
              <w:t>3合同履约率100%</w:t>
            </w:r>
          </w:p>
          <w:p>
            <w:pPr>
              <w:tabs>
                <w:tab w:val="left" w:pos="540"/>
              </w:tabs>
              <w:spacing w:line="240" w:lineRule="exact"/>
              <w:rPr>
                <w:rFonts w:ascii="宋体" w:hAnsi="宋体" w:cs="宋体"/>
                <w:sz w:val="21"/>
                <w:szCs w:val="21"/>
              </w:rPr>
            </w:pPr>
            <w:r>
              <w:rPr>
                <w:rFonts w:hint="eastAsia" w:ascii="宋体" w:hAnsi="宋体" w:cs="宋体"/>
                <w:sz w:val="21"/>
                <w:szCs w:val="21"/>
              </w:rPr>
              <w:t>4固体废弃物分类收集、统一回收处置率100%</w:t>
            </w:r>
          </w:p>
          <w:p>
            <w:pPr>
              <w:tabs>
                <w:tab w:val="left" w:pos="540"/>
              </w:tabs>
              <w:spacing w:line="240" w:lineRule="exact"/>
              <w:rPr>
                <w:rFonts w:ascii="宋体" w:hAnsi="宋体" w:cs="宋体"/>
                <w:sz w:val="21"/>
                <w:szCs w:val="21"/>
              </w:rPr>
            </w:pPr>
            <w:r>
              <w:rPr>
                <w:rFonts w:hint="eastAsia" w:ascii="宋体" w:hAnsi="宋体" w:cs="宋体"/>
                <w:sz w:val="21"/>
                <w:szCs w:val="21"/>
              </w:rPr>
              <w:t>5火灾事故发生率为零</w:t>
            </w:r>
          </w:p>
          <w:p>
            <w:pPr>
              <w:spacing w:line="240" w:lineRule="exact"/>
              <w:rPr>
                <w:rFonts w:ascii="宋体" w:hAnsi="宋体" w:cs="宋体"/>
                <w:sz w:val="21"/>
                <w:szCs w:val="21"/>
              </w:rPr>
            </w:pPr>
            <w:r>
              <w:rPr>
                <w:rFonts w:hint="eastAsia" w:ascii="宋体" w:hAnsi="宋体" w:cs="宋体"/>
                <w:sz w:val="21"/>
                <w:szCs w:val="21"/>
              </w:rPr>
              <w:t>6重大环境污染事故发生率为零</w:t>
            </w:r>
          </w:p>
          <w:p>
            <w:pPr>
              <w:spacing w:line="240" w:lineRule="exact"/>
              <w:rPr>
                <w:rFonts w:ascii="宋体" w:hAnsi="宋体" w:cs="宋体"/>
                <w:sz w:val="21"/>
                <w:szCs w:val="21"/>
              </w:rPr>
            </w:pPr>
            <w:r>
              <w:rPr>
                <w:rFonts w:hint="eastAsia" w:ascii="宋体" w:hAnsi="宋体" w:cs="宋体"/>
                <w:sz w:val="21"/>
                <w:szCs w:val="21"/>
              </w:rPr>
              <w:t>7员工工伤率≤3‰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s="宋体"/>
                <w:sz w:val="21"/>
                <w:szCs w:val="21"/>
              </w:rPr>
              <w:t>公司按照申请认证的标准要求，建立并形成了文件化的环境和职业健康安全管理体系，体系文件对管理体系各过程进行了识别确定、明确了各要素间的相互关系及其管控要求。公司体系文件于2020年6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240" w:lineRule="exact"/>
              <w:rPr>
                <w:rFonts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r>
              <w:rPr>
                <w:rFonts w:hint="eastAsia" w:ascii="宋体" w:hAnsi="宋体" w:cs="宋体"/>
                <w:sz w:val="21"/>
                <w:szCs w:val="21"/>
              </w:rPr>
              <w:t>厂区所面积5200平方米左右，办公场所面积200平方。主要生产设备包括行车、烤漆房、喷砂除锈机、发动机吊架、交流弧焊机等和办公设备，可以满足经营的需要。对设备按月方式进行点检维护保养，并实施。特种设备：行车。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cs="宋体"/>
                <w:sz w:val="21"/>
                <w:szCs w:val="21"/>
              </w:rPr>
              <w:t>办公、制造维修服务场所和内设备布置合理，通道畅通，照明设施齐全，均配备了消防设施等设施。办公室明亮，培训场所光线较充足。每月由综合部对工作环境进行定期检查。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cs="宋体"/>
                <w:sz w:val="21"/>
                <w:szCs w:val="21"/>
              </w:rPr>
            </w:pPr>
            <w:r>
              <w:rPr>
                <w:rFonts w:hint="eastAsia" w:ascii="宋体" w:hAnsi="宋体" w:cs="宋体"/>
                <w:b/>
                <w:bCs/>
                <w:sz w:val="21"/>
                <w:szCs w:val="21"/>
              </w:rPr>
              <w:t>监视和测量资源</w:t>
            </w:r>
            <w:r>
              <w:rPr>
                <w:rFonts w:hint="eastAsia" w:ascii="宋体" w:hAnsi="宋体" w:cs="宋体"/>
                <w:sz w:val="21"/>
                <w:szCs w:val="21"/>
              </w:rPr>
              <w:t xml:space="preserve">    </w:t>
            </w:r>
          </w:p>
          <w:p>
            <w:pPr>
              <w:spacing w:line="240" w:lineRule="exact"/>
              <w:rPr>
                <w:rFonts w:ascii="宋体" w:hAnsi="宋体"/>
                <w:b/>
                <w:sz w:val="21"/>
                <w:szCs w:val="21"/>
              </w:rPr>
            </w:pPr>
            <w:r>
              <w:rPr>
                <w:rFonts w:hint="eastAsia" w:ascii="宋体" w:hAnsi="宋体" w:cs="宋体"/>
                <w:sz w:val="21"/>
                <w:szCs w:val="21"/>
              </w:rPr>
              <w:t>查公司配置有游标卡尺、千分尺、卷尺、万用表、扭力扳手、转速仪、机油压力表等，能保证设备制造及汽的车等维修要求。提供有有效校准或检定证书。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ascii="宋体" w:hAnsi="宋体" w:cs="宋体"/>
                <w:sz w:val="21"/>
                <w:szCs w:val="21"/>
              </w:rPr>
            </w:pPr>
            <w:r>
              <w:rPr>
                <w:rFonts w:hint="eastAsia" w:ascii="宋体" w:hAnsi="宋体" w:cs="宋体"/>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rPr>
              <w:t>消防栓、配电箱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宋体" w:hAnsi="宋体"/>
                <w:b/>
                <w:sz w:val="21"/>
                <w:szCs w:val="21"/>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b/>
                <w:sz w:val="21"/>
                <w:szCs w:val="21"/>
              </w:rPr>
            </w:pPr>
            <w:r>
              <w:rPr>
                <w:rFonts w:hint="eastAsia" w:ascii="宋体" w:hAnsi="宋体"/>
                <w:b/>
                <w:sz w:val="21"/>
                <w:szCs w:val="21"/>
              </w:rPr>
              <w:t>内部沟通的效果：良好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宋体" w:hAnsi="宋体" w:cs="宋体"/>
                <w:color w:val="000000"/>
                <w:sz w:val="21"/>
                <w:szCs w:val="21"/>
              </w:rPr>
              <w:t>采取顾客满意度调查方式了解顾客感受。</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宋体" w:hAnsi="宋体" w:cs="宋体"/>
                <w:color w:val="000000"/>
                <w:sz w:val="21"/>
                <w:szCs w:val="21"/>
              </w:rPr>
              <w:t>对会议通知和规定等登记处理</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宋体" w:hAnsi="宋体" w:cs="宋体"/>
                <w:color w:val="00000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r>
              <w:rPr>
                <w:rFonts w:hint="eastAsia" w:ascii="宋体" w:hAnsi="宋体"/>
                <w:b/>
                <w:sz w:val="21"/>
                <w:szCs w:val="21"/>
              </w:rPr>
              <w:t>无</w:t>
            </w: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cs="宋体"/>
                <w:color w:val="000000"/>
                <w:sz w:val="21"/>
                <w:szCs w:val="21"/>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 xml:space="preserve">组织对不可接受风险实施控制的结果    </w:t>
            </w:r>
          </w:p>
          <w:p>
            <w:pPr>
              <w:spacing w:line="240" w:lineRule="exact"/>
              <w:rPr>
                <w:rFonts w:ascii="宋体" w:hAnsi="宋体"/>
                <w:b/>
                <w:sz w:val="21"/>
                <w:szCs w:val="21"/>
              </w:rPr>
            </w:pPr>
            <w:r>
              <w:rPr>
                <w:rFonts w:hint="eastAsia" w:ascii="宋体" w:hAnsi="宋体" w:cs="宋体"/>
                <w:color w:val="000000"/>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cs="宋体"/>
                <w:color w:val="000000"/>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jc w:val="left"/>
              <w:rPr>
                <w:rFonts w:ascii="宋体" w:hAnsi="宋体"/>
                <w:b/>
                <w:sz w:val="21"/>
                <w:szCs w:val="21"/>
              </w:rPr>
            </w:pPr>
            <w:r>
              <w:rPr>
                <w:rFonts w:hint="eastAsia" w:ascii="宋体" w:hAnsi="宋体"/>
                <w:bCs/>
                <w:sz w:val="21"/>
                <w:szCs w:val="21"/>
              </w:rPr>
              <w:t>行车，提供有在有效期内的行车检定报告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6-12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 xml:space="preserve">顾客满意  </w:t>
            </w:r>
          </w:p>
          <w:p>
            <w:p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 w:val="21"/>
                <w:szCs w:val="21"/>
              </w:rPr>
              <w:t>2020年9月实施，满意度评价81分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r>
              <w:rPr>
                <w:rFonts w:hint="eastAsia" w:ascii="宋体" w:hAnsi="宋体" w:cs="宋体"/>
                <w:sz w:val="21"/>
                <w:szCs w:val="21"/>
              </w:rPr>
              <w:t>建立有《内部审核控制程序》，规定了内审频次一年一次，内审时间：2020年10月15-17日，拟定了审核实施表，明确了内审范围，内审人员经培训合格上岗，能力满足要求，未出现审核本部门情况，内审不符合项2项，涉及综合部Q7.2条款查培训：未能提供对特殊过程进行学习培训的证据；ES8.2条款查综合部未提供对2020年5月25日消防演练的评价。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cs="宋体"/>
                <w:sz w:val="21"/>
                <w:szCs w:val="21"/>
              </w:rPr>
              <w:t>管理评审频次为一年一次、本次管理评审于2020年11月5日由总经理主持完成、提供主要输入材料有各部门总结，输入信息基本充分和满足要求。输出见“管理评审报告”,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ascii="宋体" w:hAnsi="宋体"/>
                <w:b/>
                <w:sz w:val="21"/>
                <w:szCs w:val="21"/>
              </w:rPr>
            </w:pPr>
            <w:r>
              <w:rPr>
                <w:rFonts w:hint="eastAsia"/>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ascii="宋体" w:hAnsi="宋体"/>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 xml:space="preserve">创新情况 </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 xml:space="preserve">上次不符合的整改情况  </w:t>
            </w:r>
          </w:p>
          <w:p>
            <w:pPr>
              <w:spacing w:line="240" w:lineRule="exact"/>
              <w:rPr>
                <w:rFonts w:ascii="宋体" w:hAnsi="宋体"/>
                <w:b/>
                <w:sz w:val="21"/>
                <w:szCs w:val="21"/>
              </w:rPr>
            </w:pPr>
            <w:r>
              <w:rPr>
                <w:rFonts w:hint="eastAsia" w:ascii="宋体" w:hAnsi="宋体" w:cs="宋体"/>
                <w:color w:val="000000"/>
                <w:sz w:val="21"/>
                <w:szCs w:val="21"/>
              </w:rPr>
              <w:t>上次不符合Q7.2，ES9.1.2已整改，经验证有效。</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ascii="黑体" w:hAnsi="黑体" w:eastAsia="黑体" w:cs="黑体"/>
          <w:b/>
          <w:spacing w:val="-10"/>
          <w:szCs w:val="21"/>
        </w:rPr>
        <w:t>■</w:t>
      </w:r>
      <w:r>
        <w:rPr>
          <w:rFonts w:hint="eastAsia" w:ascii="宋体" w:hAnsi="宋体"/>
          <w:b/>
          <w:szCs w:val="21"/>
        </w:rPr>
        <w:t>可能影响本次审核结论可靠性的因素：无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黑体" w:hAnsi="黑体" w:eastAsia="黑体" w:cs="黑体"/>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本次审核共开具不符合项报告1项；其中</w:t>
      </w:r>
      <w:r>
        <w:rPr>
          <w:rFonts w:ascii="宋体" w:hAnsi="宋体"/>
          <w:b/>
          <w:szCs w:val="21"/>
        </w:rPr>
        <w:pict>
          <v:line id="直接连接符 1" o:spid="_x0000_s1028"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ascii="宋体" w:hAnsi="宋体"/>
          <w:b/>
          <w:szCs w:val="21"/>
        </w:rPr>
        <w:t>严重不符合0项，一般不符合1 项，观察项0项分布在 生产部部门Q8.5.1条款，见不符合项分布表。（</w:t>
      </w:r>
      <w:r>
        <w:rPr>
          <w:rFonts w:ascii="宋体" w:hAnsi="宋体"/>
          <w:b/>
          <w:szCs w:val="21"/>
        </w:rPr>
        <w:t>Q/J/E/S</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黑体" w:hAnsi="黑体" w:eastAsia="黑体" w:cs="黑体"/>
                <w:b/>
                <w:szCs w:val="21"/>
              </w:rPr>
              <w:t>■</w:t>
            </w:r>
            <w:r>
              <w:rPr>
                <w:rFonts w:ascii="宋体" w:hAnsi="宋体"/>
                <w:b/>
                <w:szCs w:val="21"/>
              </w:rPr>
              <w:t>QMS</w:t>
            </w:r>
            <w:r>
              <w:rPr>
                <w:rFonts w:hint="eastAsia" w:ascii="宋体" w:hAnsi="宋体"/>
                <w:b/>
                <w:szCs w:val="21"/>
              </w:rPr>
              <w:t>□50430</w:t>
            </w:r>
            <w:r>
              <w:rPr>
                <w:rFonts w:hint="eastAsia" w:ascii="黑体" w:hAnsi="黑体" w:eastAsia="黑体" w:cs="黑体"/>
                <w:b/>
                <w:szCs w:val="21"/>
              </w:rPr>
              <w:t>■</w:t>
            </w:r>
            <w:r>
              <w:rPr>
                <w:rFonts w:ascii="宋体" w:hAnsi="宋体"/>
                <w:b/>
                <w:szCs w:val="21"/>
              </w:rPr>
              <w:t xml:space="preserve">EMS  </w:t>
            </w:r>
            <w:r>
              <w:rPr>
                <w:rFonts w:hint="eastAsia" w:ascii="黑体" w:hAnsi="黑体" w:eastAsia="黑体" w:cs="黑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hint="eastAsia"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left="331" w:leftChars="88" w:hanging="120" w:hangingChars="50"/>
              <w:rPr>
                <w:rFonts w:hint="eastAsia" w:ascii="宋体" w:hAnsi="宋体"/>
                <w:b/>
                <w:szCs w:val="21"/>
              </w:rPr>
            </w:pPr>
          </w:p>
          <w:p>
            <w:pPr>
              <w:spacing w:line="280" w:lineRule="exact"/>
              <w:ind w:left="331" w:leftChars="88" w:hanging="120" w:hangingChars="50"/>
              <w:rPr>
                <w:rFonts w:hint="eastAsia" w:ascii="宋体" w:hAnsi="宋体"/>
                <w:b/>
                <w:szCs w:val="21"/>
              </w:rPr>
            </w:pPr>
          </w:p>
          <w:p>
            <w:pPr>
              <w:spacing w:line="280" w:lineRule="exact"/>
              <w:ind w:left="331" w:leftChars="88" w:hanging="120" w:hangingChars="50"/>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黑体" w:hAnsi="黑体" w:eastAsia="黑体" w:cs="黑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黑体" w:hAnsi="黑体" w:eastAsia="黑体" w:cs="黑体"/>
                <w:b/>
                <w:szCs w:val="21"/>
              </w:rPr>
              <w:t>■</w:t>
            </w:r>
            <w:r>
              <w:rPr>
                <w:rFonts w:ascii="宋体" w:hAnsi="宋体"/>
                <w:b/>
                <w:szCs w:val="21"/>
              </w:rPr>
              <w:t>QMS</w:t>
            </w:r>
            <w:r>
              <w:rPr>
                <w:rFonts w:hint="eastAsia" w:ascii="宋体" w:hAnsi="宋体"/>
                <w:b/>
                <w:szCs w:val="21"/>
              </w:rPr>
              <w:t>□50430</w:t>
            </w:r>
            <w:r>
              <w:rPr>
                <w:rFonts w:hint="eastAsia" w:ascii="黑体" w:hAnsi="黑体" w:eastAsia="黑体" w:cs="黑体"/>
                <w:b/>
                <w:szCs w:val="21"/>
              </w:rPr>
              <w:t>■</w:t>
            </w:r>
            <w:r>
              <w:rPr>
                <w:rFonts w:ascii="宋体" w:hAnsi="宋体"/>
                <w:b/>
                <w:szCs w:val="21"/>
              </w:rPr>
              <w:t xml:space="preserve">EMS  </w:t>
            </w:r>
            <w:r>
              <w:rPr>
                <w:rFonts w:hint="eastAsia" w:ascii="黑体" w:hAnsi="黑体" w:eastAsia="黑体" w:cs="黑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2"/>
          <w:szCs w:val="22"/>
        </w:rPr>
        <w:drawing>
          <wp:anchor distT="0" distB="0" distL="114300" distR="114300" simplePos="0" relativeHeight="251653120" behindDoc="0" locked="0" layoutInCell="1" allowOverlap="1">
            <wp:simplePos x="0" y="0"/>
            <wp:positionH relativeFrom="column">
              <wp:posOffset>1675765</wp:posOffset>
            </wp:positionH>
            <wp:positionV relativeFrom="paragraph">
              <wp:posOffset>250825</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600" w:firstLineChars="250"/>
        <w:rPr>
          <w:rFonts w:hint="eastAsia"/>
          <w:b/>
          <w:sz w:val="21"/>
        </w:rPr>
      </w:pPr>
      <w:r>
        <w:rPr>
          <w:rFonts w:hint="eastAsia"/>
        </w:rPr>
        <w:drawing>
          <wp:anchor distT="0" distB="0" distL="114300" distR="114300" simplePos="0" relativeHeight="251664384" behindDoc="0" locked="0" layoutInCell="1" allowOverlap="1">
            <wp:simplePos x="0" y="0"/>
            <wp:positionH relativeFrom="column">
              <wp:posOffset>4122420</wp:posOffset>
            </wp:positionH>
            <wp:positionV relativeFrom="paragraph">
              <wp:posOffset>126365</wp:posOffset>
            </wp:positionV>
            <wp:extent cx="485775" cy="373380"/>
            <wp:effectExtent l="19050" t="0" r="9525" b="0"/>
            <wp:wrapNone/>
            <wp:docPr id="4" name="图片 1" descr="C:\Users\24309\Desktop\胡帅.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Desktop\胡帅.bmp"/>
                    <pic:cNvPicPr>
                      <a:picLocks noChangeAspect="1" noChangeArrowheads="1"/>
                    </pic:cNvPicPr>
                  </pic:nvPicPr>
                  <pic:blipFill>
                    <a:blip r:embed="rId7" cstate="print"/>
                    <a:srcRect/>
                    <a:stretch>
                      <a:fillRect/>
                    </a:stretch>
                  </pic:blipFill>
                  <pic:spPr>
                    <a:xfrm>
                      <a:off x="0" y="0"/>
                      <a:ext cx="485775" cy="37338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657216" behindDoc="0" locked="0" layoutInCell="1" allowOverlap="1">
            <wp:simplePos x="0" y="0"/>
            <wp:positionH relativeFrom="column">
              <wp:posOffset>3389630</wp:posOffset>
            </wp:positionH>
            <wp:positionV relativeFrom="paragraph">
              <wp:posOffset>75565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cstate="print"/>
                    <a:stretch>
                      <a:fillRect/>
                    </a:stretch>
                  </pic:blipFill>
                  <pic:spPr>
                    <a:xfrm>
                      <a:off x="0" y="0"/>
                      <a:ext cx="544830" cy="248920"/>
                    </a:xfrm>
                    <a:prstGeom prst="rect">
                      <a:avLst/>
                    </a:prstGeom>
                  </pic:spPr>
                </pic:pic>
              </a:graphicData>
            </a:graphic>
          </wp:anchor>
        </w:drawing>
      </w:r>
      <w:r>
        <w:rPr>
          <w:rFonts w:hint="eastAsia"/>
          <w:sz w:val="22"/>
          <w:szCs w:val="22"/>
        </w:rPr>
        <w:drawing>
          <wp:anchor distT="0" distB="0" distL="114300" distR="114300" simplePos="0" relativeHeight="251656192" behindDoc="0" locked="0" layoutInCell="1" allowOverlap="1">
            <wp:simplePos x="0" y="0"/>
            <wp:positionH relativeFrom="column">
              <wp:posOffset>2681605</wp:posOffset>
            </wp:positionH>
            <wp:positionV relativeFrom="paragraph">
              <wp:posOffset>79375</wp:posOffset>
            </wp:positionV>
            <wp:extent cx="632460" cy="313055"/>
            <wp:effectExtent l="0" t="0" r="15240" b="1079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9" cstate="print"/>
                    <a:srcRect l="19829" t="27682" r="28673" b="20988"/>
                    <a:stretch>
                      <a:fillRect/>
                    </a:stretch>
                  </pic:blipFill>
                  <pic:spPr>
                    <a:xfrm>
                      <a:off x="0" y="0"/>
                      <a:ext cx="632460" cy="313055"/>
                    </a:xfrm>
                    <a:prstGeom prst="rect">
                      <a:avLst/>
                    </a:prstGeom>
                  </pic:spPr>
                </pic:pic>
              </a:graphicData>
            </a:graphic>
          </wp:anchor>
        </w:drawing>
      </w:r>
      <w:r>
        <w:rPr>
          <w:sz w:val="22"/>
          <w:szCs w:val="22"/>
        </w:rPr>
        <w:drawing>
          <wp:anchor distT="0" distB="0" distL="114300" distR="114300" simplePos="0" relativeHeight="251655168" behindDoc="0" locked="0" layoutInCell="1" allowOverlap="1">
            <wp:simplePos x="0" y="0"/>
            <wp:positionH relativeFrom="column">
              <wp:posOffset>2118995</wp:posOffset>
            </wp:positionH>
            <wp:positionV relativeFrom="paragraph">
              <wp:posOffset>134620</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cstate="print"/>
                    <a:stretch>
                      <a:fillRect/>
                    </a:stretch>
                  </pic:blipFill>
                  <pic:spPr>
                    <a:xfrm>
                      <a:off x="0" y="0"/>
                      <a:ext cx="412115" cy="269875"/>
                    </a:xfrm>
                    <a:prstGeom prst="rect">
                      <a:avLst/>
                    </a:prstGeom>
                  </pic:spPr>
                </pic:pic>
              </a:graphicData>
            </a:graphic>
          </wp:anchor>
        </w:drawing>
      </w:r>
      <w:r>
        <w:rPr>
          <w:rFonts w:hint="eastAsia"/>
          <w:b/>
          <w:sz w:val="22"/>
          <w:szCs w:val="22"/>
        </w:rPr>
        <w:drawing>
          <wp:anchor distT="0" distB="0" distL="114300" distR="114300" simplePos="0" relativeHeight="251654144" behindDoc="0" locked="0" layoutInCell="1" allowOverlap="1">
            <wp:simplePos x="0" y="0"/>
            <wp:positionH relativeFrom="column">
              <wp:posOffset>1611630</wp:posOffset>
            </wp:positionH>
            <wp:positionV relativeFrom="paragraph">
              <wp:posOffset>114935</wp:posOffset>
            </wp:positionV>
            <wp:extent cx="422910" cy="320040"/>
            <wp:effectExtent l="0" t="0" r="15240" b="381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beforeLines="50" w:line="320" w:lineRule="exact"/>
        <w:ind w:firstLine="527" w:firstLineChars="250"/>
        <w:rPr>
          <w:b/>
          <w:sz w:val="21"/>
        </w:rPr>
      </w:pPr>
    </w:p>
    <w:p>
      <w:pPr>
        <w:snapToGrid w:val="0"/>
        <w:spacing w:line="280" w:lineRule="exact"/>
        <w:ind w:firstLine="6325" w:firstLineChars="3000"/>
        <w:rPr>
          <w:b/>
          <w:sz w:val="21"/>
        </w:rPr>
      </w:pPr>
      <w:r>
        <w:rPr>
          <w:rFonts w:hint="eastAsia"/>
          <w:b/>
          <w:sz w:val="21"/>
        </w:rPr>
        <w:t>日期：2021年1月17日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ascii="黑体" w:hAnsi="黑体" w:eastAsia="黑体" w:cs="黑体"/>
          <w:b/>
          <w:szCs w:val="21"/>
        </w:rPr>
        <w:t>■</w:t>
      </w:r>
      <w:r>
        <w:rPr>
          <w:b/>
          <w:sz w:val="21"/>
          <w:szCs w:val="21"/>
        </w:rPr>
        <w:t>QMS (1)</w:t>
      </w:r>
      <w:r>
        <w:rPr>
          <w:rFonts w:hint="eastAsia"/>
          <w:b/>
          <w:sz w:val="21"/>
          <w:szCs w:val="21"/>
        </w:rPr>
        <w:t>个一般不符合，</w:t>
      </w:r>
      <w:r>
        <w:rPr>
          <w:b/>
          <w:sz w:val="21"/>
          <w:szCs w:val="21"/>
        </w:rPr>
        <w:t>(0)</w:t>
      </w:r>
      <w:r>
        <w:rPr>
          <w:rFonts w:hint="eastAsia"/>
          <w:b/>
          <w:sz w:val="21"/>
          <w:szCs w:val="21"/>
        </w:rPr>
        <w:t>个严重不符合，</w:t>
      </w:r>
      <w:r>
        <w:rPr>
          <w:rFonts w:hint="eastAsia" w:ascii="黑体" w:hAnsi="黑体" w:eastAsia="黑体" w:cs="黑体"/>
          <w:b/>
          <w:szCs w:val="21"/>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ascii="黑体" w:hAnsi="黑体" w:eastAsia="黑体" w:cs="黑体"/>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58" w:firstLineChars="343"/>
        <w:rPr>
          <w:b/>
          <w:sz w:val="21"/>
          <w:szCs w:val="21"/>
          <w:u w:val="single"/>
        </w:rPr>
      </w:pPr>
      <w:r>
        <w:rPr>
          <w:rFonts w:hint="eastAsia"/>
          <w:b/>
          <w:sz w:val="22"/>
          <w:szCs w:val="22"/>
        </w:rPr>
        <w:drawing>
          <wp:anchor distT="0" distB="0" distL="114300" distR="114300" simplePos="0" relativeHeight="251658240" behindDoc="0" locked="0" layoutInCell="1" allowOverlap="1">
            <wp:simplePos x="0" y="0"/>
            <wp:positionH relativeFrom="column">
              <wp:posOffset>1170940</wp:posOffset>
            </wp:positionH>
            <wp:positionV relativeFrom="paragraph">
              <wp:posOffset>21590</wp:posOffset>
            </wp:positionV>
            <wp:extent cx="323850" cy="335280"/>
            <wp:effectExtent l="0" t="0" r="0" b="762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pacing w:line="360" w:lineRule="auto"/>
        <w:ind w:left="600"/>
        <w:rPr>
          <w:b/>
          <w:szCs w:val="24"/>
        </w:rPr>
      </w:pP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93849"/>
    <w:rsid w:val="003750DA"/>
    <w:rsid w:val="00493849"/>
    <w:rsid w:val="005E2DE6"/>
    <w:rsid w:val="007236CD"/>
    <w:rsid w:val="007B67A2"/>
    <w:rsid w:val="00AB67DE"/>
    <w:rsid w:val="00CF70A6"/>
    <w:rsid w:val="027E6825"/>
    <w:rsid w:val="032A117B"/>
    <w:rsid w:val="056E77A4"/>
    <w:rsid w:val="077B7022"/>
    <w:rsid w:val="08E04851"/>
    <w:rsid w:val="09500932"/>
    <w:rsid w:val="0AD22CF4"/>
    <w:rsid w:val="0B8D0CAA"/>
    <w:rsid w:val="0C141A30"/>
    <w:rsid w:val="0C560F7C"/>
    <w:rsid w:val="0C8626FD"/>
    <w:rsid w:val="0C934644"/>
    <w:rsid w:val="0DB81187"/>
    <w:rsid w:val="0E2D1328"/>
    <w:rsid w:val="0E375083"/>
    <w:rsid w:val="0F4A0381"/>
    <w:rsid w:val="0F524BC8"/>
    <w:rsid w:val="10755D56"/>
    <w:rsid w:val="11FD444C"/>
    <w:rsid w:val="12E40548"/>
    <w:rsid w:val="13984EEE"/>
    <w:rsid w:val="151A4D49"/>
    <w:rsid w:val="161B4897"/>
    <w:rsid w:val="17EC1E8F"/>
    <w:rsid w:val="185B66C7"/>
    <w:rsid w:val="1ACB69CB"/>
    <w:rsid w:val="1C7A4338"/>
    <w:rsid w:val="1D486547"/>
    <w:rsid w:val="1E615E06"/>
    <w:rsid w:val="1E873454"/>
    <w:rsid w:val="1EDB0DC0"/>
    <w:rsid w:val="200F191C"/>
    <w:rsid w:val="207906E2"/>
    <w:rsid w:val="20DE3CAD"/>
    <w:rsid w:val="22592557"/>
    <w:rsid w:val="226807A6"/>
    <w:rsid w:val="227640DA"/>
    <w:rsid w:val="23646B7A"/>
    <w:rsid w:val="23B712EA"/>
    <w:rsid w:val="23CB3420"/>
    <w:rsid w:val="246672B6"/>
    <w:rsid w:val="250B24AD"/>
    <w:rsid w:val="25B114FB"/>
    <w:rsid w:val="264A3C3E"/>
    <w:rsid w:val="267B6405"/>
    <w:rsid w:val="2723735C"/>
    <w:rsid w:val="2907515B"/>
    <w:rsid w:val="298B0616"/>
    <w:rsid w:val="2B2207EA"/>
    <w:rsid w:val="2B9603D7"/>
    <w:rsid w:val="2CD65F2B"/>
    <w:rsid w:val="2D9017B3"/>
    <w:rsid w:val="2EC64A60"/>
    <w:rsid w:val="2FB76663"/>
    <w:rsid w:val="301E6D52"/>
    <w:rsid w:val="304610A1"/>
    <w:rsid w:val="30486325"/>
    <w:rsid w:val="30776CB2"/>
    <w:rsid w:val="309E2D67"/>
    <w:rsid w:val="316D17E3"/>
    <w:rsid w:val="33C4687A"/>
    <w:rsid w:val="34062D10"/>
    <w:rsid w:val="342403C6"/>
    <w:rsid w:val="34B72BBE"/>
    <w:rsid w:val="37C604E8"/>
    <w:rsid w:val="38D304C5"/>
    <w:rsid w:val="38E70305"/>
    <w:rsid w:val="39257991"/>
    <w:rsid w:val="395E3BEC"/>
    <w:rsid w:val="39DB4684"/>
    <w:rsid w:val="3A031DB3"/>
    <w:rsid w:val="3A7B3C76"/>
    <w:rsid w:val="3AE10C55"/>
    <w:rsid w:val="3B076727"/>
    <w:rsid w:val="3B0A117A"/>
    <w:rsid w:val="3BAA0B5E"/>
    <w:rsid w:val="3C395C54"/>
    <w:rsid w:val="3D170586"/>
    <w:rsid w:val="3DFB4FBD"/>
    <w:rsid w:val="3EAA4B4C"/>
    <w:rsid w:val="3ECF63B0"/>
    <w:rsid w:val="3F47158B"/>
    <w:rsid w:val="3FA812F0"/>
    <w:rsid w:val="41892B8D"/>
    <w:rsid w:val="41F96076"/>
    <w:rsid w:val="425C2016"/>
    <w:rsid w:val="427748D1"/>
    <w:rsid w:val="429132C3"/>
    <w:rsid w:val="43AE66D4"/>
    <w:rsid w:val="46007475"/>
    <w:rsid w:val="47DE5E04"/>
    <w:rsid w:val="4A292288"/>
    <w:rsid w:val="4A851517"/>
    <w:rsid w:val="4B9872FA"/>
    <w:rsid w:val="4BB52851"/>
    <w:rsid w:val="4D611AB3"/>
    <w:rsid w:val="4E081FEA"/>
    <w:rsid w:val="4E3F1D5A"/>
    <w:rsid w:val="4E605680"/>
    <w:rsid w:val="50672A7D"/>
    <w:rsid w:val="50D40C54"/>
    <w:rsid w:val="50E15598"/>
    <w:rsid w:val="51C81C36"/>
    <w:rsid w:val="52376EDE"/>
    <w:rsid w:val="52D96365"/>
    <w:rsid w:val="52EC65A5"/>
    <w:rsid w:val="532D68DA"/>
    <w:rsid w:val="535B2470"/>
    <w:rsid w:val="53CA169E"/>
    <w:rsid w:val="54530628"/>
    <w:rsid w:val="56A63AA8"/>
    <w:rsid w:val="571E522A"/>
    <w:rsid w:val="57706676"/>
    <w:rsid w:val="57C37D48"/>
    <w:rsid w:val="5821138C"/>
    <w:rsid w:val="5880066F"/>
    <w:rsid w:val="5A721DA2"/>
    <w:rsid w:val="5B5B0057"/>
    <w:rsid w:val="5C733233"/>
    <w:rsid w:val="5E8C2B94"/>
    <w:rsid w:val="5ED7434E"/>
    <w:rsid w:val="5F1740D3"/>
    <w:rsid w:val="60293EEC"/>
    <w:rsid w:val="60D15580"/>
    <w:rsid w:val="610839A4"/>
    <w:rsid w:val="61656629"/>
    <w:rsid w:val="630D1FA4"/>
    <w:rsid w:val="63C7427B"/>
    <w:rsid w:val="653656CA"/>
    <w:rsid w:val="65AE31ED"/>
    <w:rsid w:val="65DA6D70"/>
    <w:rsid w:val="66945B64"/>
    <w:rsid w:val="66B0418E"/>
    <w:rsid w:val="670A47D6"/>
    <w:rsid w:val="68060890"/>
    <w:rsid w:val="68280E2C"/>
    <w:rsid w:val="6935675E"/>
    <w:rsid w:val="694244E7"/>
    <w:rsid w:val="6ACB4EBF"/>
    <w:rsid w:val="6B9B6E88"/>
    <w:rsid w:val="6CDF4856"/>
    <w:rsid w:val="6D791691"/>
    <w:rsid w:val="6DE1498B"/>
    <w:rsid w:val="709F3775"/>
    <w:rsid w:val="70E310AC"/>
    <w:rsid w:val="71676365"/>
    <w:rsid w:val="7309632A"/>
    <w:rsid w:val="730D29D3"/>
    <w:rsid w:val="73ED7104"/>
    <w:rsid w:val="74DD45A9"/>
    <w:rsid w:val="74E45659"/>
    <w:rsid w:val="75FF4764"/>
    <w:rsid w:val="76474364"/>
    <w:rsid w:val="773E58A4"/>
    <w:rsid w:val="77BF47B8"/>
    <w:rsid w:val="78F12E6C"/>
    <w:rsid w:val="798F08F2"/>
    <w:rsid w:val="7B307B7E"/>
    <w:rsid w:val="7BC71B54"/>
    <w:rsid w:val="7DA83E61"/>
    <w:rsid w:val="7ECF0A22"/>
    <w:rsid w:val="7F3C25E1"/>
    <w:rsid w:val="7FEB66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1377</Words>
  <Characters>7851</Characters>
  <Lines>65</Lines>
  <Paragraphs>18</Paragraphs>
  <TotalTime>14</TotalTime>
  <ScaleCrop>false</ScaleCrop>
  <LinksUpToDate>false</LinksUpToDate>
  <CharactersWithSpaces>9210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未未未平-</cp:lastModifiedBy>
  <cp:lastPrinted>2019-04-18T08:15:00Z</cp:lastPrinted>
  <dcterms:modified xsi:type="dcterms:W3CDTF">2021-01-17T07:14:33Z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