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r>
              <w:rPr>
                <w:b/>
                <w:bCs/>
                <w:sz w:val="21"/>
                <w:szCs w:val="21"/>
              </w:rPr>
              <w:t>广安兴荣电力安装工程有限公司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b/>
                <w:bCs/>
                <w:sz w:val="22"/>
                <w:szCs w:val="22"/>
              </w:rPr>
            </w:pPr>
            <w:r>
              <w:rPr>
                <w:rFonts w:hint="eastAsia"/>
                <w:b/>
                <w:bCs/>
                <w:sz w:val="22"/>
                <w:szCs w:val="22"/>
              </w:rPr>
              <w:t>EC：GB/T19001-2016/ISO9001:2015</w:t>
            </w:r>
          </w:p>
          <w:p>
            <w:pPr>
              <w:ind w:left="70" w:leftChars="29"/>
              <w:rPr>
                <w:rFonts w:hint="eastAsia"/>
                <w:b/>
                <w:bCs/>
                <w:sz w:val="22"/>
                <w:szCs w:val="22"/>
              </w:rPr>
            </w:pPr>
            <w:r>
              <w:rPr>
                <w:rFonts w:hint="eastAsia"/>
                <w:b/>
                <w:bCs/>
                <w:sz w:val="22"/>
                <w:szCs w:val="22"/>
              </w:rPr>
              <w:t>和GB/T50430-2017</w:t>
            </w:r>
          </w:p>
          <w:p>
            <w:pPr>
              <w:ind w:left="70" w:leftChars="29"/>
              <w:rPr>
                <w:rFonts w:hint="eastAsia"/>
                <w:b/>
                <w:bCs/>
                <w:sz w:val="22"/>
                <w:szCs w:val="22"/>
              </w:rPr>
            </w:pPr>
            <w:r>
              <w:rPr>
                <w:rFonts w:hint="eastAsia"/>
                <w:b/>
                <w:bCs/>
                <w:sz w:val="22"/>
                <w:szCs w:val="22"/>
              </w:rPr>
              <w:t>,E：GB/T 24001-2016/ISO14001:2015</w:t>
            </w:r>
          </w:p>
          <w:p>
            <w:pPr>
              <w:ind w:left="70" w:leftChars="29"/>
              <w:rPr>
                <w:b/>
                <w:bCs/>
                <w:sz w:val="22"/>
                <w:szCs w:val="22"/>
              </w:rPr>
            </w:pPr>
            <w:r>
              <w:rPr>
                <w:rFonts w:hint="eastAsia"/>
                <w:b/>
                <w:bCs/>
                <w:sz w:val="22"/>
                <w:szCs w:val="22"/>
              </w:rPr>
              <w:t>,O：GB/T45001-2020 / ISO45001：2018</w:t>
            </w:r>
            <w:r>
              <w:rPr>
                <w:rFonts w:hint="eastAsia"/>
                <w:b/>
                <w:bCs/>
                <w:sz w:val="22"/>
                <w:szCs w:val="22"/>
              </w:rPr>
              <w:sym w:font="Wingdings 2" w:char="0052"/>
            </w:r>
            <w:r>
              <w:rPr>
                <w:rFonts w:hint="eastAsia"/>
                <w:b/>
                <w:bCs/>
                <w:sz w:val="22"/>
                <w:szCs w:val="22"/>
              </w:rPr>
              <w:t xml:space="preserve">受审核方管理体系文件 (手册版本号：)  </w:t>
            </w:r>
            <w:r>
              <w:rPr>
                <w:rFonts w:hint="eastAsia"/>
                <w:b/>
                <w:bCs/>
                <w:sz w:val="22"/>
                <w:szCs w:val="22"/>
              </w:rPr>
              <w:sym w:font="Wingdings 2" w:char="0052"/>
            </w:r>
            <w:r>
              <w:rPr>
                <w:rFonts w:hint="eastAsia"/>
                <w:b/>
                <w:bCs/>
                <w:sz w:val="22"/>
                <w:szCs w:val="22"/>
              </w:rPr>
              <w:t>适用于受审核方的法律法规及其他要求</w:t>
            </w:r>
            <w:r>
              <w:rPr>
                <w:rFonts w:hint="eastAsia"/>
                <w:b/>
                <w:bCs/>
                <w:sz w:val="22"/>
                <w:szCs w:val="22"/>
              </w:rPr>
              <w:sym w:font="Wingdings 2" w:char="0052"/>
            </w:r>
            <w:r>
              <w:rPr>
                <w:rFonts w:hint="eastAsia"/>
                <w:b/>
                <w:bCs/>
                <w:sz w:val="22"/>
                <w:szCs w:val="22"/>
              </w:rPr>
              <w:t>认证合同</w:t>
            </w:r>
          </w:p>
        </w:tc>
        <w:tc>
          <w:tcPr>
            <w:tcW w:w="1134" w:type="dxa"/>
            <w:vAlign w:val="center"/>
          </w:tcPr>
          <w:p>
            <w:pPr>
              <w:widowControl/>
              <w:jc w:val="left"/>
              <w:rPr>
                <w:b/>
                <w:bCs/>
                <w:sz w:val="22"/>
                <w:szCs w:val="22"/>
              </w:rPr>
            </w:pPr>
            <w:r>
              <w:rPr>
                <w:rFonts w:hint="eastAsia"/>
                <w:b/>
                <w:bCs/>
                <w:sz w:val="22"/>
                <w:szCs w:val="22"/>
              </w:rPr>
              <w:t>合同编号</w:t>
            </w:r>
          </w:p>
        </w:tc>
        <w:tc>
          <w:tcPr>
            <w:tcW w:w="2313" w:type="dxa"/>
            <w:vAlign w:val="center"/>
          </w:tcPr>
          <w:p>
            <w:pPr>
              <w:widowControl/>
              <w:jc w:val="left"/>
              <w:rPr>
                <w:b/>
                <w:bCs/>
                <w:sz w:val="22"/>
                <w:szCs w:val="22"/>
              </w:rPr>
            </w:pPr>
            <w:r>
              <w:rPr>
                <w:b/>
                <w:bCs/>
                <w:sz w:val="22"/>
                <w:szCs w:val="22"/>
              </w:rPr>
              <w:t>0751-2020-QJEO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b/>
                <w:bCs/>
                <w:sz w:val="22"/>
                <w:szCs w:val="22"/>
              </w:rPr>
            </w:pPr>
            <w:r>
              <w:rPr>
                <w:b/>
                <w:bCs/>
                <w:sz w:val="22"/>
                <w:szCs w:val="22"/>
              </w:rPr>
              <w:t></w:t>
            </w:r>
            <w:r>
              <w:rPr>
                <w:rFonts w:hint="eastAsia"/>
                <w:b/>
                <w:bCs/>
                <w:sz w:val="22"/>
                <w:szCs w:val="22"/>
              </w:rPr>
              <w:t>EC:</w:t>
            </w:r>
            <w:r>
              <w:rPr>
                <w:rFonts w:hint="eastAsia"/>
                <w:b/>
                <w:bCs/>
                <w:sz w:val="22"/>
                <w:szCs w:val="22"/>
                <w:lang w:val="en-US" w:eastAsia="zh-CN"/>
              </w:rPr>
              <w:t>二</w:t>
            </w:r>
            <w:r>
              <w:rPr>
                <w:rFonts w:hint="eastAsia"/>
                <w:b/>
                <w:bCs/>
                <w:sz w:val="22"/>
                <w:szCs w:val="22"/>
              </w:rPr>
              <w:t>阶段现场,E:</w:t>
            </w:r>
            <w:r>
              <w:rPr>
                <w:rFonts w:hint="eastAsia"/>
                <w:b/>
                <w:bCs/>
                <w:sz w:val="22"/>
                <w:szCs w:val="22"/>
                <w:lang w:val="en-US" w:eastAsia="zh-CN"/>
              </w:rPr>
              <w:t>二</w:t>
            </w:r>
            <w:r>
              <w:rPr>
                <w:rFonts w:hint="eastAsia"/>
                <w:b/>
                <w:bCs/>
                <w:sz w:val="22"/>
                <w:szCs w:val="22"/>
              </w:rPr>
              <w:t>阶段现场,O:</w:t>
            </w:r>
            <w:r>
              <w:rPr>
                <w:rFonts w:hint="eastAsia"/>
                <w:b/>
                <w:bCs/>
                <w:sz w:val="22"/>
                <w:szCs w:val="22"/>
                <w:lang w:val="en-US" w:eastAsia="zh-CN"/>
              </w:rPr>
              <w:t>二</w:t>
            </w:r>
            <w:r>
              <w:rPr>
                <w:rFonts w:hint="eastAsia"/>
                <w:b/>
                <w:bCs/>
                <w:sz w:val="22"/>
                <w:szCs w:val="22"/>
              </w:rPr>
              <w:t>阶段现场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leftChars="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bCs/>
                <w:sz w:val="22"/>
                <w:szCs w:val="22"/>
                <w:highlight w:val="yellow"/>
              </w:rPr>
            </w:pPr>
            <w:r>
              <w:rPr>
                <w:b/>
                <w:bCs/>
                <w:color w:val="auto"/>
                <w:sz w:val="22"/>
                <w:szCs w:val="22"/>
                <w:highlight w:val="none"/>
              </w:rPr>
              <w:t>李凤仪</w:t>
            </w:r>
          </w:p>
        </w:tc>
        <w:tc>
          <w:tcPr>
            <w:tcW w:w="1184" w:type="dxa"/>
            <w:vAlign w:val="center"/>
          </w:tcPr>
          <w:p>
            <w:pPr>
              <w:snapToGrid w:val="0"/>
              <w:spacing w:line="320" w:lineRule="exact"/>
              <w:ind w:left="572" w:leftChars="0"/>
              <w:rPr>
                <w:b/>
                <w:bCs/>
                <w:sz w:val="22"/>
                <w:szCs w:val="22"/>
                <w:highlight w:val="yellow"/>
              </w:rPr>
            </w:pPr>
            <w:r>
              <w:rPr>
                <w:b/>
                <w:bCs/>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2019-N1QMS-3031946</w:t>
            </w:r>
          </w:p>
          <w:p>
            <w:pPr>
              <w:snapToGrid w:val="0"/>
              <w:spacing w:line="320" w:lineRule="exact"/>
              <w:ind w:left="1309"/>
              <w:rPr>
                <w:color w:val="auto"/>
                <w:sz w:val="22"/>
                <w:szCs w:val="22"/>
                <w:highlight w:val="none"/>
              </w:rPr>
            </w:pPr>
            <w:r>
              <w:rPr>
                <w:color w:val="auto"/>
                <w:sz w:val="22"/>
                <w:szCs w:val="22"/>
                <w:highlight w:val="none"/>
              </w:rPr>
              <w:t>2018-N1EMS-2031946</w:t>
            </w:r>
          </w:p>
          <w:p>
            <w:pPr>
              <w:snapToGrid w:val="0"/>
              <w:spacing w:line="320" w:lineRule="exact"/>
              <w:ind w:left="1309" w:leftChars="0"/>
              <w:rPr>
                <w:sz w:val="22"/>
                <w:szCs w:val="22"/>
                <w:highlight w:val="yellow"/>
              </w:rPr>
            </w:pPr>
            <w:r>
              <w:rPr>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bCs/>
                <w:sz w:val="22"/>
                <w:szCs w:val="22"/>
                <w:highlight w:val="yellow"/>
              </w:rPr>
            </w:pPr>
            <w:r>
              <w:rPr>
                <w:b/>
                <w:bCs/>
                <w:color w:val="auto"/>
                <w:sz w:val="22"/>
                <w:szCs w:val="22"/>
                <w:highlight w:val="none"/>
              </w:rPr>
              <w:t>杨珍全</w:t>
            </w:r>
          </w:p>
        </w:tc>
        <w:tc>
          <w:tcPr>
            <w:tcW w:w="1184" w:type="dxa"/>
            <w:vAlign w:val="center"/>
          </w:tcPr>
          <w:p>
            <w:pPr>
              <w:snapToGrid w:val="0"/>
              <w:spacing w:line="320" w:lineRule="exact"/>
              <w:ind w:left="572" w:leftChars="0"/>
              <w:rPr>
                <w:b/>
                <w:bCs/>
                <w:sz w:val="22"/>
                <w:szCs w:val="22"/>
                <w:highlight w:val="yellow"/>
              </w:rPr>
            </w:pPr>
            <w:r>
              <w:rPr>
                <w:b/>
                <w:bCs/>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2018-N1QMS-1230067</w:t>
            </w:r>
          </w:p>
          <w:p>
            <w:pPr>
              <w:snapToGrid w:val="0"/>
              <w:spacing w:line="320" w:lineRule="exact"/>
              <w:ind w:left="1309"/>
              <w:rPr>
                <w:color w:val="auto"/>
                <w:sz w:val="22"/>
                <w:szCs w:val="22"/>
                <w:highlight w:val="none"/>
              </w:rPr>
            </w:pPr>
            <w:r>
              <w:rPr>
                <w:color w:val="auto"/>
                <w:sz w:val="22"/>
                <w:szCs w:val="22"/>
                <w:highlight w:val="none"/>
              </w:rPr>
              <w:t>2018-N1EMS-1230067</w:t>
            </w:r>
          </w:p>
          <w:p>
            <w:pPr>
              <w:snapToGrid w:val="0"/>
              <w:spacing w:line="320" w:lineRule="exact"/>
              <w:ind w:left="1309" w:leftChars="0"/>
              <w:rPr>
                <w:sz w:val="22"/>
                <w:szCs w:val="22"/>
                <w:highlight w:val="yellow"/>
              </w:rPr>
            </w:pPr>
            <w:r>
              <w:rPr>
                <w:color w:val="auto"/>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leftChars="0"/>
              <w:rPr>
                <w:b/>
                <w:sz w:val="22"/>
                <w:szCs w:val="22"/>
                <w:highlight w:val="yellow"/>
              </w:rPr>
            </w:pPr>
          </w:p>
        </w:tc>
        <w:tc>
          <w:tcPr>
            <w:tcW w:w="5595" w:type="dxa"/>
            <w:gridSpan w:val="3"/>
            <w:vAlign w:val="center"/>
          </w:tcPr>
          <w:p>
            <w:pPr>
              <w:snapToGrid w:val="0"/>
              <w:spacing w:line="320" w:lineRule="exact"/>
              <w:ind w:left="1309" w:leftChars="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w:t>
            </w:r>
            <w:bookmarkStart w:id="0" w:name="_GoBack"/>
            <w:bookmarkEnd w:id="0"/>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2021.1.21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2B2D96"/>
    <w:rsid w:val="29F62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2021-01-19T01:49:20Z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