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华润雪花啤酒（四川）有限责任公司新都分公司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0010-2021-EO</w:t>
      </w:r>
      <w:bookmarkEnd w:id="1"/>
    </w:p>
    <w:tbl>
      <w:tblPr>
        <w:tblStyle w:val="5"/>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营业执照副本编号：91510100MA63GUGW3E</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许可证编号</w:t>
            </w:r>
            <w:r>
              <w:rPr>
                <w:rFonts w:hint="eastAsia"/>
                <w:color w:val="000000"/>
                <w:szCs w:val="21"/>
                <w:lang w:eastAsia="zh-CN"/>
              </w:rPr>
              <w:t>：食品生产许可证</w:t>
            </w:r>
            <w:r>
              <w:rPr>
                <w:rFonts w:hint="eastAsia"/>
                <w:color w:val="000000"/>
                <w:szCs w:val="21"/>
                <w:lang w:val="en-US" w:eastAsia="zh-CN"/>
              </w:rPr>
              <w:t>SC11551011402549</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rPr>
            </w:pPr>
            <w:r>
              <w:rPr>
                <w:rFonts w:hint="eastAsia" w:ascii="黑体" w:hAnsi="黑体" w:eastAsia="黑体" w:cs="黑体"/>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rFonts w:hint="eastAsia"/>
                <w:color w:val="000000"/>
                <w:szCs w:val="21"/>
                <w:lang w:eastAsia="zh-CN"/>
              </w:rPr>
            </w:pPr>
            <w:r>
              <w:rPr>
                <w:rFonts w:hint="eastAsia" w:ascii="黑体" w:hAnsi="黑体" w:eastAsia="黑体" w:cs="黑体"/>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lang w:eastAsia="zh-CN"/>
              </w:rPr>
            </w:pPr>
            <w:r>
              <w:rPr>
                <w:rFonts w:hint="eastAsia" w:ascii="黑体" w:hAnsi="黑体" w:eastAsia="黑体" w:cs="黑体"/>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rPr>
            </w:pPr>
            <w:r>
              <w:rPr>
                <w:rFonts w:hint="eastAsia" w:ascii="黑体" w:hAnsi="黑体" w:eastAsia="黑体" w:cs="黑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lang w:eastAsia="zh-CN"/>
              </w:rPr>
            </w:pPr>
            <w:r>
              <w:rPr>
                <w:rFonts w:hint="eastAsia" w:ascii="黑体" w:hAnsi="黑体" w:eastAsia="黑体" w:cs="黑体"/>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rPr>
            </w:pPr>
            <w:r>
              <w:rPr>
                <w:rFonts w:hint="eastAsia" w:ascii="黑体" w:hAnsi="黑体" w:eastAsia="黑体" w:cs="黑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widowControl/>
              <w:jc w:val="left"/>
              <w:rPr>
                <w:rFonts w:ascii="宋体" w:hAnsi="宋体" w:cs="宋体"/>
                <w:color w:val="000000"/>
                <w:kern w:val="0"/>
                <w:szCs w:val="21"/>
              </w:rPr>
            </w:pPr>
            <w:r>
              <w:rPr>
                <w:rFonts w:hint="eastAsia"/>
                <w:color w:val="000000"/>
                <w:szCs w:val="21"/>
              </w:rPr>
              <w:t>注：</w:t>
            </w:r>
            <w:r>
              <w:rPr>
                <w:rFonts w:hint="eastAsia" w:ascii="宋体" w:hAnsi="宋体" w:cs="宋体"/>
                <w:color w:val="000000"/>
                <w:kern w:val="0"/>
                <w:szCs w:val="21"/>
              </w:rPr>
              <w:t>（1）12万CPH易拉罐啤酒生产线项目环境影响报告表的审查批复、</w:t>
            </w:r>
            <w:r>
              <w:rPr>
                <w:rFonts w:hint="eastAsia" w:ascii="宋体" w:hAnsi="宋体" w:cs="宋体"/>
                <w:color w:val="000000"/>
                <w:kern w:val="0"/>
                <w:szCs w:val="21"/>
                <w:lang w:eastAsia="zh-CN"/>
              </w:rPr>
              <w:t>新环建评（</w:t>
            </w:r>
            <w:r>
              <w:rPr>
                <w:rFonts w:hint="eastAsia" w:ascii="宋体" w:hAnsi="宋体" w:cs="宋体"/>
                <w:color w:val="000000"/>
                <w:kern w:val="0"/>
                <w:szCs w:val="21"/>
                <w:lang w:val="en-US" w:eastAsia="zh-CN"/>
              </w:rPr>
              <w:t>2017</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151号</w:t>
            </w:r>
            <w:r>
              <w:rPr>
                <w:rFonts w:hint="eastAsia" w:ascii="宋体" w:hAnsi="宋体" w:cs="宋体"/>
                <w:color w:val="000000"/>
                <w:kern w:val="0"/>
                <w:szCs w:val="21"/>
              </w:rPr>
              <w:t>；</w:t>
            </w:r>
          </w:p>
          <w:p>
            <w:pPr>
              <w:widowControl/>
              <w:jc w:val="left"/>
              <w:rPr>
                <w:color w:val="000000"/>
                <w:szCs w:val="21"/>
              </w:rPr>
            </w:pPr>
            <w:r>
              <w:rPr>
                <w:rFonts w:hint="eastAsia" w:ascii="宋体" w:hAnsi="宋体" w:cs="宋体"/>
                <w:color w:val="000000"/>
                <w:kern w:val="0"/>
                <w:szCs w:val="21"/>
              </w:rPr>
              <w:t>（2）12万CPH易拉罐啤酒生产线项目（废水、废气）竣工环境保护验收审查意见；</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rFonts w:hint="eastAsia"/>
                <w:color w:val="000000"/>
                <w:szCs w:val="21"/>
              </w:rPr>
            </w:pPr>
            <w:r>
              <w:rPr>
                <w:rFonts w:hint="eastAsia" w:ascii="黑体" w:hAnsi="黑体" w:eastAsia="黑体" w:cs="黑体"/>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5"/>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r>
              <w:rPr>
                <w:rFonts w:hint="eastAsia" w:ascii="宋体" w:hAnsi="宋体" w:cs="宋体"/>
                <w:color w:val="000000"/>
                <w:kern w:val="0"/>
                <w:szCs w:val="21"/>
              </w:rPr>
              <w:t>12万CPH易拉罐啤酒生产线项目（噪声和固体废物）竣工环境保护验收申请。</w:t>
            </w:r>
            <w:r>
              <w:rPr>
                <w:rFonts w:hint="eastAsia" w:ascii="宋体" w:hAnsi="宋体" w:cs="宋体"/>
                <w:color w:val="000000"/>
                <w:kern w:val="0"/>
                <w:szCs w:val="21"/>
                <w:highlight w:val="none"/>
                <w:lang w:val="en-US" w:eastAsia="zh-CN"/>
              </w:rPr>
              <w:t>结论：通过验收。</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ascii="黑体" w:hAnsi="黑体" w:eastAsia="黑体" w:cs="黑体"/>
                <w:color w:val="000000"/>
                <w:szCs w:val="21"/>
                <w:lang w:eastAsia="zh-CN"/>
              </w:rPr>
              <w:t>■</w:t>
            </w: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ascii="黑体" w:hAnsi="黑体" w:eastAsia="黑体" w:cs="黑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ascii="黑体" w:hAnsi="黑体" w:eastAsia="黑体" w:cs="黑体"/>
                <w:color w:val="000000"/>
                <w:szCs w:val="21"/>
              </w:rPr>
              <w:t>■</w:t>
            </w: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260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ascii="黑体" w:hAnsi="黑体" w:eastAsia="黑体" w:cs="黑体"/>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ascii="黑体" w:hAnsi="黑体" w:eastAsia="黑体" w:cs="黑体"/>
                <w:color w:val="000000"/>
                <w:szCs w:val="21"/>
                <w:lang w:eastAsia="zh-CN"/>
              </w:rPr>
              <w:t>■</w:t>
            </w:r>
            <w:r>
              <w:rPr>
                <w:rFonts w:hint="eastAsia"/>
                <w:color w:val="000000"/>
                <w:szCs w:val="21"/>
              </w:rPr>
              <w:t>□</w:t>
            </w:r>
          </w:p>
          <w:p>
            <w:pPr>
              <w:rPr>
                <w:color w:val="000000"/>
                <w:szCs w:val="21"/>
              </w:rPr>
            </w:pPr>
            <w:r>
              <w:rPr>
                <w:rFonts w:hint="eastAsia" w:ascii="黑体" w:hAnsi="黑体" w:eastAsia="黑体" w:cs="黑体"/>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ascii="黑体" w:hAnsi="黑体" w:eastAsia="黑体" w:cs="黑体"/>
                <w:color w:val="000000"/>
                <w:szCs w:val="21"/>
                <w:lang w:eastAsia="zh-CN"/>
              </w:rPr>
              <w:t>■</w:t>
            </w: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ascii="黑体" w:hAnsi="黑体" w:eastAsia="黑体" w:cs="黑体"/>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ascii="黑体" w:hAnsi="黑体" w:eastAsia="黑体" w:cs="黑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3820160</wp:posOffset>
                  </wp:positionH>
                  <wp:positionV relativeFrom="paragraph">
                    <wp:posOffset>6985</wp:posOffset>
                  </wp:positionV>
                  <wp:extent cx="323850" cy="335280"/>
                  <wp:effectExtent l="0" t="0" r="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5"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rFonts w:hint="eastAsia" w:eastAsia="宋体"/>
                <w:color w:val="000000"/>
                <w:szCs w:val="21"/>
                <w:lang w:eastAsia="zh-CN"/>
              </w:rPr>
            </w:pPr>
            <w:r>
              <w:rPr>
                <w:rFonts w:hint="eastAsia"/>
                <w:color w:val="000000"/>
                <w:szCs w:val="21"/>
              </w:rPr>
              <w:t>备注：需二阶段组长核实的问题</w:t>
            </w:r>
            <w:r>
              <w:rPr>
                <w:rFonts w:hint="eastAsia"/>
                <w:color w:val="000000"/>
                <w:szCs w:val="21"/>
                <w:lang w:eastAsia="zh-CN"/>
              </w:rPr>
              <w:t>：无</w:t>
            </w:r>
          </w:p>
          <w:p>
            <w:pPr>
              <w:rPr>
                <w:color w:val="000000"/>
                <w:szCs w:val="21"/>
              </w:rPr>
            </w:pPr>
            <w:r>
              <w:rPr>
                <w:rFonts w:hint="eastAsia"/>
                <w:b/>
                <w:sz w:val="22"/>
                <w:szCs w:val="22"/>
              </w:rPr>
              <w:drawing>
                <wp:anchor distT="0" distB="0" distL="114300" distR="114300" simplePos="0" relativeHeight="251671552" behindDoc="0" locked="0" layoutInCell="1" allowOverlap="1">
                  <wp:simplePos x="0" y="0"/>
                  <wp:positionH relativeFrom="column">
                    <wp:posOffset>3623310</wp:posOffset>
                  </wp:positionH>
                  <wp:positionV relativeFrom="paragraph">
                    <wp:posOffset>59055</wp:posOffset>
                  </wp:positionV>
                  <wp:extent cx="323850" cy="335280"/>
                  <wp:effectExtent l="0" t="0" r="0" b="7620"/>
                  <wp:wrapNone/>
                  <wp:docPr id="2"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新文档 2019-09-04 21.08.47.jpg"/>
                          <pic:cNvPicPr>
                            <a:picLocks noChangeAspect="1" noChangeArrowheads="1"/>
                          </pic:cNvPicPr>
                        </pic:nvPicPr>
                        <pic:blipFill>
                          <a:blip r:embed="rId5" cstate="print"/>
                          <a:srcRect/>
                          <a:stretch>
                            <a:fillRect/>
                          </a:stretch>
                        </pic:blipFill>
                        <pic:spPr>
                          <a:xfrm>
                            <a:off x="0" y="0"/>
                            <a:ext cx="323850" cy="335280"/>
                          </a:xfrm>
                          <a:prstGeom prst="rect">
                            <a:avLst/>
                          </a:prstGeom>
                          <a:noFill/>
                          <a:ln w="9525">
                            <a:noFill/>
                            <a:miter lim="800000"/>
                            <a:headEnd/>
                            <a:tailEnd/>
                          </a:ln>
                        </pic:spPr>
                      </pic:pic>
                    </a:graphicData>
                  </a:graphic>
                </wp:anchor>
              </w:drawing>
            </w: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2021.1.11</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2021.1.11</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ind w:firstLine="648" w:firstLineChars="343"/>
      <w:jc w:val="left"/>
    </w:pPr>
    <w:r>
      <w:rPr>
        <w:rStyle w:val="9"/>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A4603C"/>
    <w:rsid w:val="0AB064B6"/>
    <w:rsid w:val="12C161B1"/>
    <w:rsid w:val="133A6A35"/>
    <w:rsid w:val="150E3A79"/>
    <w:rsid w:val="174162CD"/>
    <w:rsid w:val="177B2465"/>
    <w:rsid w:val="1B444DBE"/>
    <w:rsid w:val="24C9199F"/>
    <w:rsid w:val="25E502BE"/>
    <w:rsid w:val="2B6D37D6"/>
    <w:rsid w:val="2FFF7588"/>
    <w:rsid w:val="30043D00"/>
    <w:rsid w:val="33886C4B"/>
    <w:rsid w:val="3A713807"/>
    <w:rsid w:val="40977123"/>
    <w:rsid w:val="42BD77CE"/>
    <w:rsid w:val="45C76C05"/>
    <w:rsid w:val="45DB05E0"/>
    <w:rsid w:val="4ADB16FF"/>
    <w:rsid w:val="5D7B024C"/>
    <w:rsid w:val="6C4E4EB4"/>
    <w:rsid w:val="74960B29"/>
    <w:rsid w:val="76FB5B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2021-01-22T05:31:15Z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