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4" w:name="_GoBack"/>
            <w:bookmarkStart w:id="0" w:name="组织名称"/>
            <w:r>
              <w:rPr>
                <w:sz w:val="21"/>
                <w:szCs w:val="21"/>
              </w:rPr>
              <w:t>重庆宇宝保温工程有限公司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top"/>
          </w:tcPr>
          <w:p>
            <w:pPr>
              <w:snapToGrid w:val="0"/>
              <w:spacing w:line="320" w:lineRule="exact"/>
              <w:ind w:left="1309"/>
              <w:jc w:val="both"/>
              <w:rPr>
                <w:sz w:val="22"/>
                <w:szCs w:val="22"/>
                <w:highlight w:val="none"/>
              </w:rPr>
            </w:pPr>
            <w:r>
              <w:rPr>
                <w:sz w:val="22"/>
                <w:szCs w:val="22"/>
                <w:highlight w:val="none"/>
              </w:rPr>
              <w:t>2018-N1QMS-1230067</w:t>
            </w:r>
          </w:p>
          <w:p>
            <w:pPr>
              <w:snapToGrid w:val="0"/>
              <w:spacing w:line="320" w:lineRule="exact"/>
              <w:ind w:left="1309"/>
              <w:jc w:val="both"/>
              <w:rPr>
                <w:sz w:val="22"/>
                <w:szCs w:val="22"/>
                <w:highlight w:val="none"/>
              </w:rPr>
            </w:pPr>
            <w:r>
              <w:rPr>
                <w:sz w:val="22"/>
                <w:szCs w:val="22"/>
                <w:highlight w:val="none"/>
              </w:rPr>
              <w:t>2018-N1EMS-1230067</w:t>
            </w:r>
          </w:p>
          <w:p>
            <w:pPr>
              <w:snapToGrid w:val="0"/>
              <w:spacing w:line="320" w:lineRule="exact"/>
              <w:ind w:left="1309"/>
              <w:jc w:val="both"/>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top"/>
          </w:tcPr>
          <w:p>
            <w:pPr>
              <w:snapToGrid w:val="0"/>
              <w:spacing w:line="320" w:lineRule="exact"/>
              <w:ind w:left="1309"/>
              <w:jc w:val="both"/>
              <w:rPr>
                <w:sz w:val="22"/>
                <w:szCs w:val="22"/>
                <w:highlight w:val="none"/>
              </w:rPr>
            </w:pPr>
            <w:r>
              <w:rPr>
                <w:sz w:val="22"/>
                <w:szCs w:val="22"/>
                <w:highlight w:val="none"/>
              </w:rPr>
              <w:t>2020-N1QMS-1267598</w:t>
            </w:r>
          </w:p>
          <w:p>
            <w:pPr>
              <w:snapToGrid w:val="0"/>
              <w:spacing w:line="320" w:lineRule="exact"/>
              <w:ind w:left="1309"/>
              <w:jc w:val="both"/>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top"/>
          </w:tcPr>
          <w:p>
            <w:pPr>
              <w:snapToGrid w:val="0"/>
              <w:spacing w:line="320" w:lineRule="exact"/>
              <w:ind w:left="1309"/>
              <w:jc w:val="both"/>
              <w:rPr>
                <w:sz w:val="22"/>
                <w:szCs w:val="22"/>
                <w:highlight w:val="none"/>
              </w:rPr>
            </w:pPr>
            <w:r>
              <w:rPr>
                <w:sz w:val="22"/>
                <w:szCs w:val="22"/>
                <w:highlight w:val="none"/>
              </w:rPr>
              <w:t>2020-N1QMS-1265256</w:t>
            </w:r>
          </w:p>
          <w:p>
            <w:pPr>
              <w:snapToGrid w:val="0"/>
              <w:spacing w:line="320" w:lineRule="exact"/>
              <w:ind w:left="1309"/>
              <w:jc w:val="both"/>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杨晶</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top"/>
          </w:tcPr>
          <w:p>
            <w:pPr>
              <w:snapToGrid w:val="0"/>
              <w:spacing w:line="320" w:lineRule="exact"/>
              <w:jc w:val="both"/>
              <w:rPr>
                <w:sz w:val="22"/>
                <w:szCs w:val="22"/>
                <w:highlight w:val="none"/>
              </w:rPr>
            </w:pPr>
            <w:r>
              <w:rPr>
                <w:sz w:val="22"/>
                <w:szCs w:val="22"/>
                <w:highlight w:val="none"/>
              </w:rPr>
              <w:t>ISC-JSZJ-235</w:t>
            </w:r>
          </w:p>
          <w:p>
            <w:pPr>
              <w:snapToGrid w:val="0"/>
              <w:spacing w:line="320" w:lineRule="exact"/>
              <w:jc w:val="both"/>
              <w:rPr>
                <w:sz w:val="22"/>
                <w:szCs w:val="22"/>
                <w:highlight w:val="none"/>
              </w:rPr>
            </w:pPr>
            <w:r>
              <w:rPr>
                <w:sz w:val="22"/>
                <w:szCs w:val="22"/>
                <w:highlight w:val="none"/>
              </w:rPr>
              <w:t>ISC-JSZJ-235</w:t>
            </w:r>
          </w:p>
          <w:p>
            <w:pPr>
              <w:snapToGrid w:val="0"/>
              <w:spacing w:line="320" w:lineRule="exact"/>
              <w:jc w:val="both"/>
              <w:rPr>
                <w:sz w:val="22"/>
                <w:szCs w:val="22"/>
                <w:highlight w:val="none"/>
              </w:rPr>
            </w:pPr>
            <w:r>
              <w:rPr>
                <w:sz w:val="22"/>
                <w:szCs w:val="22"/>
                <w:highlight w:val="none"/>
              </w:rPr>
              <w:t>ISC-JSZJ-235</w:t>
            </w:r>
            <w:r>
              <w:rPr>
                <w:rFonts w:hint="eastAsia"/>
                <w:sz w:val="22"/>
                <w:szCs w:val="22"/>
                <w:highlight w:val="none"/>
                <w:lang w:val="en-US" w:eastAsia="zh-CN"/>
              </w:rPr>
              <w:t xml:space="preserve">   </w:t>
            </w:r>
            <w:r>
              <w:rPr>
                <w:sz w:val="22"/>
                <w:szCs w:val="22"/>
                <w:highlight w:val="none"/>
              </w:rPr>
              <w:t>重庆超皓建材有限公司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1</w:t>
            </w:r>
            <w:r>
              <w:rPr>
                <w:rFonts w:hint="eastAsia"/>
                <w:b/>
                <w:sz w:val="22"/>
                <w:szCs w:val="22"/>
              </w:rPr>
              <w:t>月1</w:t>
            </w:r>
            <w:r>
              <w:rPr>
                <w:rFonts w:hint="eastAsia"/>
                <w:b/>
                <w:sz w:val="22"/>
                <w:szCs w:val="22"/>
                <w:lang w:val="en-US" w:eastAsia="zh-CN"/>
              </w:rPr>
              <w:t>1</w:t>
            </w:r>
            <w:r>
              <w:rPr>
                <w:rFonts w:hint="eastAsia"/>
                <w:b/>
                <w:sz w:val="22"/>
                <w:szCs w:val="22"/>
              </w:rPr>
              <w:t xml:space="preserve">日 </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1</w:t>
            </w:r>
            <w:r>
              <w:rPr>
                <w:rFonts w:hint="eastAsia"/>
                <w:b/>
                <w:sz w:val="22"/>
                <w:szCs w:val="22"/>
              </w:rPr>
              <w:t>月1</w:t>
            </w:r>
            <w:r>
              <w:rPr>
                <w:rFonts w:hint="eastAsia"/>
                <w:b/>
                <w:sz w:val="22"/>
                <w:szCs w:val="22"/>
                <w:lang w:val="en-US" w:eastAsia="zh-CN"/>
              </w:rPr>
              <w:t>1</w:t>
            </w:r>
            <w:r>
              <w:rPr>
                <w:rFonts w:hint="eastAsia"/>
                <w:b/>
                <w:sz w:val="22"/>
                <w:szCs w:val="22"/>
              </w:rPr>
              <w:t xml:space="preserve">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1</w:t>
            </w:r>
            <w:r>
              <w:rPr>
                <w:rFonts w:hint="eastAsia"/>
                <w:b/>
                <w:sz w:val="22"/>
                <w:szCs w:val="22"/>
              </w:rPr>
              <w:t>月1</w:t>
            </w:r>
            <w:r>
              <w:rPr>
                <w:rFonts w:hint="eastAsia"/>
                <w:b/>
                <w:sz w:val="22"/>
                <w:szCs w:val="22"/>
                <w:lang w:val="en-US" w:eastAsia="zh-CN"/>
              </w:rPr>
              <w:t>1</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555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2021-01-11T13:36:39Z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