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0729-2020-QE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合江明浩木业有限公司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张雪梅</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Q:06.01.00,06.02.01,06.02.04</w:t>
            </w:r>
          </w:p>
          <w:p>
            <w:pPr>
              <w:spacing w:line="240" w:lineRule="exact"/>
              <w:jc w:val="center"/>
              <w:rPr>
                <w:b/>
                <w:color w:val="000000"/>
                <w:sz w:val="20"/>
                <w:szCs w:val="20"/>
              </w:rPr>
            </w:pPr>
            <w:r>
              <w:rPr>
                <w:b/>
                <w:color w:val="000000"/>
                <w:sz w:val="20"/>
                <w:szCs w:val="20"/>
              </w:rPr>
              <w:t>E:06.01.00,06.02.01,06.02.04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合江明浩木业有限公司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四川省泸州市合江县荔江镇三江中心村10楼11号门市</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646000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四川省泸州市合江县荔江镇三江村扶贫车间</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646000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陈明巧</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0830—5252776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ascii="宋体"/>
                <w:b/>
                <w:color w:val="000000"/>
                <w:sz w:val="20"/>
                <w:szCs w:val="20"/>
              </w:rPr>
            </w:pPr>
            <w:bookmarkStart w:id="19" w:name="法人"/>
            <w:r>
              <w:rPr>
                <w:rFonts w:ascii="宋体"/>
                <w:b/>
                <w:color w:val="000000"/>
                <w:sz w:val="20"/>
                <w:szCs w:val="20"/>
              </w:rPr>
              <w:t>陈明巧</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center"/>
              <w:rPr>
                <w:rFonts w:ascii="宋体"/>
                <w:b/>
                <w:color w:val="000000"/>
                <w:sz w:val="20"/>
                <w:szCs w:val="20"/>
              </w:rPr>
            </w:pPr>
            <w:bookmarkStart w:id="20" w:name="管理者代表"/>
            <w:r>
              <w:rPr>
                <w:rFonts w:ascii="宋体"/>
                <w:b/>
                <w:color w:val="000000"/>
                <w:sz w:val="20"/>
                <w:szCs w:val="20"/>
              </w:rPr>
              <w:t>陈明</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269138104@qq.com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2020年01月30日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Q：木制品（木加工、木托盘、木包装箱、胶合板托盘、木方、木板）的生产</w:t>
            </w:r>
          </w:p>
          <w:p>
            <w:pPr>
              <w:spacing w:line="400" w:lineRule="exact"/>
              <w:rPr>
                <w:rFonts w:ascii="宋体" w:hAnsi="宋体"/>
                <w:b/>
                <w:color w:val="000000"/>
                <w:sz w:val="20"/>
                <w:szCs w:val="20"/>
              </w:rPr>
            </w:pPr>
            <w:r>
              <w:rPr>
                <w:rFonts w:ascii="宋体" w:hAnsi="宋体"/>
                <w:b/>
                <w:color w:val="000000"/>
                <w:sz w:val="20"/>
                <w:szCs w:val="20"/>
              </w:rPr>
              <w:t>E：木制品（木加工、木托盘、木包装箱、胶合板托盘、木方、木板）的生产所涉及场所的相关环境管理活动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Q：06.01.00;06.02.01;06.02.04</w:t>
            </w:r>
          </w:p>
          <w:p>
            <w:pPr>
              <w:spacing w:line="280" w:lineRule="exact"/>
              <w:rPr>
                <w:rFonts w:ascii="宋体"/>
                <w:b/>
                <w:color w:val="000000"/>
                <w:sz w:val="20"/>
                <w:szCs w:val="20"/>
              </w:rPr>
            </w:pPr>
            <w:r>
              <w:rPr>
                <w:rFonts w:ascii="宋体"/>
                <w:b/>
                <w:color w:val="000000"/>
                <w:sz w:val="20"/>
                <w:szCs w:val="20"/>
              </w:rPr>
              <w:t>E：06.01.00;06.02.01;06.02.04</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行政部、营销部、生产部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sz w:val="20"/>
              </w:rPr>
              <w:t>木制品（木加工、木托盘、木包装箱、胶合板托盘、木方、木板）的生产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lang w:eastAsia="zh-CN"/>
              </w:rPr>
              <w:t>行政部、生产部、营销部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default" w:ascii="宋体" w:eastAsia="宋体"/>
                <w:b/>
                <w:color w:val="000000"/>
                <w:sz w:val="20"/>
                <w:szCs w:val="20"/>
                <w:lang w:val="en-US" w:eastAsia="zh-CN"/>
              </w:rPr>
            </w:pPr>
            <w:r>
              <w:rPr>
                <w:rFonts w:hint="eastAsia" w:ascii="宋体" w:hAnsi="宋体"/>
                <w:b/>
                <w:color w:val="000000"/>
                <w:sz w:val="20"/>
                <w:szCs w:val="20"/>
              </w:rPr>
              <w:t>客户的场所：</w:t>
            </w:r>
            <w:r>
              <w:rPr>
                <w:rFonts w:hint="eastAsia" w:ascii="宋体" w:hAnsi="宋体"/>
                <w:b/>
                <w:color w:val="000000"/>
                <w:sz w:val="20"/>
                <w:szCs w:val="20"/>
                <w:lang w:val="en-US" w:eastAsia="zh-CN"/>
              </w:rPr>
              <w:t>政府扶贫工业园区内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rPr>
                <w:rFonts w:asciiTheme="minorEastAsia" w:hAnsiTheme="minorEastAsia" w:eastAsiaTheme="minorEastAsia"/>
                <w:sz w:val="20"/>
              </w:rPr>
              <w:t>四川省泸州市合江县荔江镇三江村扶贫车间</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合同：GB/T2934-</w:t>
            </w:r>
            <w:r>
              <w:rPr>
                <w:rFonts w:hint="eastAsia" w:ascii="宋体" w:hAnsi="宋体"/>
                <w:color w:val="000000"/>
                <w:spacing w:val="-10"/>
                <w:sz w:val="20"/>
                <w:szCs w:val="20"/>
                <w:lang w:val="en-US" w:eastAsia="zh-CN"/>
              </w:rPr>
              <w:t>2007</w:t>
            </w:r>
            <w:r>
              <w:rPr>
                <w:rFonts w:hint="eastAsia" w:ascii="宋体" w:hAnsi="宋体"/>
                <w:color w:val="000000"/>
                <w:spacing w:val="-10"/>
                <w:sz w:val="20"/>
                <w:szCs w:val="20"/>
              </w:rPr>
              <w:t>木托盘、GB/T7284-2016 框架木箱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spacing w:line="400" w:lineRule="exact"/>
              <w:rPr>
                <w:rFonts w:ascii="宋体"/>
                <w:color w:val="000000"/>
                <w:sz w:val="20"/>
                <w:szCs w:val="20"/>
              </w:rPr>
            </w:pPr>
            <w:r>
              <w:rPr>
                <w:rFonts w:hint="eastAsia" w:ascii="宋体"/>
                <w:color w:val="000000"/>
                <w:sz w:val="20"/>
                <w:szCs w:val="20"/>
              </w:rPr>
              <w:t>环境执行标准：</w:t>
            </w:r>
            <w:r>
              <w:rPr>
                <w:rFonts w:hint="eastAsia" w:ascii="宋体" w:hAnsi="宋体"/>
                <w:szCs w:val="21"/>
              </w:rPr>
              <w:t>《大气污染物综合排放标准》(GB16297-1996)表2</w:t>
            </w:r>
            <w:r>
              <w:rPr>
                <w:rFonts w:hint="eastAsia" w:ascii="宋体" w:hAnsi="宋体"/>
                <w:szCs w:val="21"/>
                <w:lang w:eastAsia="zh-CN"/>
              </w:rPr>
              <w:t>、</w:t>
            </w:r>
            <w:r>
              <w:rPr>
                <w:rFonts w:hint="eastAsia" w:ascii="宋体" w:hAnsi="宋体"/>
                <w:szCs w:val="21"/>
              </w:rPr>
              <w:t>《工业企业界环境噪声排放标准》(GB12348-2008)2类标准的要求。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napToGrid w:val="0"/>
              <w:spacing w:line="280" w:lineRule="exact"/>
              <w:jc w:val="left"/>
              <w:rPr>
                <w:rFonts w:ascii="宋体"/>
                <w:color w:val="000000"/>
                <w:sz w:val="20"/>
                <w:szCs w:val="20"/>
              </w:rPr>
            </w:pPr>
            <w:r>
              <w:rPr>
                <w:rFonts w:hint="eastAsia"/>
                <w:b w:val="0"/>
                <w:bCs/>
                <w:sz w:val="20"/>
                <w:szCs w:val="22"/>
              </w:rPr>
              <w:t>原材料</w:t>
            </w:r>
            <w:r>
              <w:rPr>
                <w:rFonts w:hint="eastAsia"/>
                <w:b w:val="0"/>
                <w:bCs/>
                <w:color w:val="auto"/>
                <w:sz w:val="20"/>
                <w:szCs w:val="22"/>
                <w:highlight w:val="none"/>
              </w:rPr>
              <w:t>采购（原木）→木材初加工切割→木材热处理→木材按订单要求二次切割成半成品→成品装订加工→成品检验→运输、交货客户→售后服务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热处理过程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热处理作业指导书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szCs w:val="21"/>
                <w:highlight w:val="none"/>
              </w:rPr>
              <w:t>木工带锯，推台锯，射钉枪，小型空压机、叉车</w:t>
            </w:r>
            <w:r>
              <w:rPr>
                <w:rFonts w:hint="eastAsia" w:ascii="宋体" w:hAnsi="宋体" w:cs="宋体"/>
                <w:szCs w:val="21"/>
                <w:highlight w:val="none"/>
                <w:lang w:eastAsia="zh-CN"/>
              </w:rPr>
              <w:t>、</w:t>
            </w:r>
            <w:r>
              <w:rPr>
                <w:rFonts w:hint="eastAsia" w:ascii="宋体" w:hAnsi="宋体" w:cs="宋体"/>
                <w:szCs w:val="21"/>
                <w:highlight w:val="none"/>
                <w:lang w:val="en-US" w:eastAsia="zh-CN"/>
              </w:rPr>
              <w:t>除尘器</w:t>
            </w:r>
            <w:r>
              <w:rPr>
                <w:rFonts w:hint="eastAsia" w:ascii="宋体" w:hAnsi="宋体" w:cs="宋体"/>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卷尺、数字式含水量测定仪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w:t>
            </w:r>
            <w:r>
              <w:rPr>
                <w:rFonts w:hint="eastAsia" w:ascii="宋体"/>
                <w:color w:val="000000"/>
                <w:sz w:val="20"/>
                <w:szCs w:val="20"/>
              </w:rPr>
              <w:sym w:font="Wingdings 2" w:char="00A3"/>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spacing w:line="400" w:lineRule="exact"/>
              <w:rPr>
                <w:rFonts w:ascii="宋体"/>
                <w:color w:val="000000"/>
                <w:sz w:val="20"/>
                <w:szCs w:val="20"/>
              </w:rPr>
            </w:pPr>
            <w:r>
              <w:rPr>
                <w:rFonts w:hint="eastAsia" w:ascii="宋体"/>
                <w:color w:val="000000"/>
                <w:sz w:val="20"/>
                <w:szCs w:val="20"/>
              </w:rPr>
              <w:t>重要环境因素有：</w:t>
            </w:r>
            <w:r>
              <w:rPr>
                <w:rFonts w:hint="eastAsia"/>
                <w:szCs w:val="22"/>
                <w:highlight w:val="none"/>
              </w:rPr>
              <w:t>1、潜在火灾；2、固废的排放；</w:t>
            </w:r>
            <w:r>
              <w:rPr>
                <w:rFonts w:hint="eastAsia"/>
                <w:szCs w:val="22"/>
                <w:highlight w:val="none"/>
                <w:lang w:val="en-US" w:eastAsia="zh-CN"/>
              </w:rPr>
              <w:t>3</w:t>
            </w:r>
            <w:r>
              <w:rPr>
                <w:rFonts w:hint="eastAsia"/>
                <w:szCs w:val="22"/>
                <w:highlight w:val="none"/>
              </w:rPr>
              <w:t>、噪音；</w:t>
            </w:r>
            <w:r>
              <w:rPr>
                <w:rFonts w:hint="eastAsia"/>
                <w:szCs w:val="22"/>
                <w:highlight w:val="none"/>
                <w:lang w:val="en-US" w:eastAsia="zh-CN"/>
              </w:rPr>
              <w:t>4</w:t>
            </w:r>
            <w:r>
              <w:rPr>
                <w:rFonts w:hint="eastAsia"/>
                <w:szCs w:val="22"/>
                <w:highlight w:val="none"/>
              </w:rPr>
              <w:t>、</w:t>
            </w:r>
            <w:r>
              <w:rPr>
                <w:rFonts w:hint="eastAsia"/>
                <w:szCs w:val="22"/>
                <w:highlight w:val="none"/>
                <w:lang w:val="en-US" w:eastAsia="zh-CN"/>
              </w:rPr>
              <w:t>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针对重要环境因素建立了运行控制程序：（1）环境因素识别与评价管理程序；（2）环境运行管理程序。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36</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产品生产过程控制、</w:t>
            </w:r>
            <w:r>
              <w:rPr>
                <w:rFonts w:hint="eastAsia" w:ascii="宋体" w:hAnsi="宋体"/>
                <w:b/>
                <w:color w:val="000000"/>
                <w:sz w:val="20"/>
                <w:szCs w:val="20"/>
              </w:rPr>
              <w:t>产品和服务放行、不合格产品和服务</w:t>
            </w:r>
          </w:p>
          <w:p>
            <w:pPr>
              <w:spacing w:line="360" w:lineRule="auto"/>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行政部、生产部、营销部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办公室及生产现场</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ascii="宋体" w:hAnsi="宋体" w:cs="Times New Roman"/>
                <w:szCs w:val="21"/>
                <w:lang w:eastAsia="zh-CN"/>
              </w:rPr>
              <w:t>2020年</w:t>
            </w:r>
            <w:r>
              <w:rPr>
                <w:rFonts w:hint="eastAsia" w:ascii="宋体" w:hAnsi="宋体" w:cs="Times New Roman"/>
                <w:szCs w:val="21"/>
                <w:lang w:val="en-US" w:eastAsia="zh-CN"/>
              </w:rPr>
              <w:t>9</w:t>
            </w:r>
            <w:r>
              <w:rPr>
                <w:rFonts w:hint="eastAsia" w:ascii="宋体" w:hAnsi="宋体" w:cs="Times New Roman"/>
                <w:szCs w:val="21"/>
                <w:lang w:eastAsia="zh-CN"/>
              </w:rPr>
              <w:t>月</w:t>
            </w:r>
            <w:r>
              <w:rPr>
                <w:rFonts w:hint="eastAsia" w:ascii="宋体" w:hAnsi="宋体" w:cs="Times New Roman"/>
                <w:szCs w:val="21"/>
                <w:lang w:val="en-US" w:eastAsia="zh-CN"/>
              </w:rPr>
              <w:t>10</w:t>
            </w:r>
            <w:r>
              <w:rPr>
                <w:rFonts w:hint="eastAsia" w:ascii="宋体" w:hAnsi="宋体" w:cs="Times New Roman"/>
                <w:szCs w:val="21"/>
                <w:lang w:eastAsia="zh-CN"/>
              </w:rPr>
              <w:t>日</w:t>
            </w:r>
            <w:r>
              <w:rPr>
                <w:rFonts w:hint="eastAsia"/>
                <w:szCs w:val="21"/>
              </w:rPr>
              <w:t>进行了内部审核。</w:t>
            </w:r>
          </w:p>
          <w:p>
            <w:pPr>
              <w:spacing w:line="400" w:lineRule="exact"/>
              <w:rPr>
                <w:rFonts w:hint="eastAsia"/>
                <w:szCs w:val="21"/>
              </w:rPr>
            </w:pPr>
            <w:r>
              <w:rPr>
                <w:rFonts w:hint="eastAsia"/>
                <w:szCs w:val="21"/>
              </w:rPr>
              <w:t>内部审核组由：</w:t>
            </w:r>
            <w:r>
              <w:rPr>
                <w:rFonts w:hint="eastAsia" w:ascii="宋体" w:hAnsi="宋体" w:cs="Times New Roman"/>
                <w:szCs w:val="21"/>
                <w:lang w:eastAsia="zh-CN"/>
              </w:rPr>
              <w:t>组长：陈明</w:t>
            </w:r>
            <w:r>
              <w:rPr>
                <w:rFonts w:hint="eastAsia" w:ascii="宋体" w:hAnsi="宋体" w:cs="Times New Roman"/>
                <w:szCs w:val="21"/>
                <w:lang w:val="en-US" w:eastAsia="zh-CN"/>
              </w:rPr>
              <w:t xml:space="preserve">     </w:t>
            </w:r>
            <w:r>
              <w:rPr>
                <w:rFonts w:hint="eastAsia" w:ascii="宋体" w:hAnsi="宋体" w:cs="Times New Roman"/>
                <w:szCs w:val="21"/>
                <w:lang w:eastAsia="zh-CN"/>
              </w:rPr>
              <w:t>组员：</w:t>
            </w:r>
            <w:r>
              <w:rPr>
                <w:rFonts w:hint="eastAsia" w:ascii="宋体" w:hAnsi="宋体" w:cs="Times New Roman"/>
                <w:szCs w:val="21"/>
                <w:lang w:val="en-US" w:eastAsia="zh-CN"/>
              </w:rPr>
              <w:t xml:space="preserve">徐小群 </w:t>
            </w:r>
            <w:r>
              <w:rPr>
                <w:rFonts w:hint="eastAsia"/>
                <w:szCs w:val="21"/>
              </w:rPr>
              <w:t>组成。</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lang w:eastAsia="zh-CN"/>
              </w:rPr>
            </w:pPr>
            <w:r>
              <w:rPr>
                <w:rFonts w:hint="eastAsia"/>
                <w:szCs w:val="21"/>
                <w:lang w:val="en-US" w:eastAsia="zh-CN"/>
              </w:rPr>
              <w:t>1、</w:t>
            </w:r>
            <w:r>
              <w:rPr>
                <w:rFonts w:hint="eastAsia"/>
                <w:szCs w:val="21"/>
                <w:lang w:eastAsia="zh-CN"/>
              </w:rPr>
              <w:t>审核范围:管理体系涉及的公司所有部门及活动场所。</w:t>
            </w:r>
          </w:p>
          <w:p>
            <w:pPr>
              <w:spacing w:line="400" w:lineRule="exact"/>
              <w:rPr>
                <w:rFonts w:ascii="宋体"/>
                <w:b/>
                <w:color w:val="000000"/>
                <w:sz w:val="20"/>
                <w:szCs w:val="20"/>
              </w:rPr>
            </w:pPr>
            <w:r>
              <w:rPr>
                <w:rFonts w:hint="eastAsia"/>
                <w:szCs w:val="21"/>
                <w:lang w:val="en-US" w:eastAsia="zh-CN"/>
              </w:rPr>
              <w:t>2、</w:t>
            </w:r>
            <w:r>
              <w:rPr>
                <w:rFonts w:hint="eastAsia"/>
                <w:szCs w:val="21"/>
                <w:lang w:eastAsia="zh-CN"/>
              </w:rPr>
              <w:t>审核准则：a.GB/T 19001:2016、GB/T 24001-2016标准；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400" w:lineRule="exact"/>
              <w:ind w:firstLine="420" w:firstLineChars="200"/>
              <w:rPr>
                <w:rFonts w:hint="eastAsia"/>
                <w:szCs w:val="21"/>
                <w:lang w:eastAsia="zh-CN"/>
              </w:rPr>
            </w:pPr>
            <w:r>
              <w:rPr>
                <w:rFonts w:hint="eastAsia"/>
                <w:szCs w:val="21"/>
                <w:lang w:eastAsia="zh-CN"/>
              </w:rPr>
              <w:t>本次内审对201</w:t>
            </w:r>
            <w:r>
              <w:rPr>
                <w:rFonts w:hint="eastAsia"/>
                <w:szCs w:val="21"/>
                <w:lang w:val="en-US" w:eastAsia="zh-CN"/>
              </w:rPr>
              <w:t>6</w:t>
            </w:r>
            <w:r>
              <w:rPr>
                <w:rFonts w:hint="eastAsia"/>
                <w:szCs w:val="21"/>
                <w:lang w:eastAsia="zh-CN"/>
              </w:rPr>
              <w:t>版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400" w:lineRule="exact"/>
              <w:rPr>
                <w:rFonts w:ascii="宋体" w:hAnsi="宋体"/>
                <w:b/>
                <w:color w:val="000000"/>
                <w:sz w:val="20"/>
                <w:szCs w:val="20"/>
              </w:rPr>
            </w:pPr>
            <w:r>
              <w:rPr>
                <w:rFonts w:hint="eastAsia"/>
                <w:szCs w:val="21"/>
                <w:lang w:eastAsia="zh-CN"/>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cs="Times New Roman"/>
                <w:szCs w:val="21"/>
                <w:lang w:val="en-US" w:eastAsia="zh-CN"/>
              </w:rPr>
              <w:t>2020年9月18日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0" w:firstLineChars="100"/>
        <w:rPr>
          <w:sz w:val="20"/>
        </w:rPr>
      </w:pPr>
      <w:r>
        <w:rPr>
          <w:sz w:val="20"/>
        </w:rPr>
        <w:t>Q</w:t>
      </w:r>
      <w:r>
        <w:rPr>
          <w:rFonts w:hint="eastAsia"/>
          <w:sz w:val="20"/>
          <w:lang w:val="en-US" w:eastAsia="zh-CN"/>
        </w:rPr>
        <w:t>MS</w:t>
      </w:r>
      <w:r>
        <w:rPr>
          <w:rFonts w:hint="eastAsia"/>
          <w:sz w:val="20"/>
          <w:lang w:eastAsia="zh-CN"/>
        </w:rPr>
        <w:t>:</w:t>
      </w:r>
      <w:r>
        <w:rPr>
          <w:sz w:val="20"/>
        </w:rPr>
        <w:t>木制品（木加工、木托盘、木包装箱、胶合板托盘、木方、木板）的生产</w:t>
      </w:r>
    </w:p>
    <w:p>
      <w:pPr>
        <w:spacing w:line="300" w:lineRule="auto"/>
        <w:ind w:firstLine="200" w:firstLineChars="100"/>
        <w:rPr>
          <w:rFonts w:ascii="宋体"/>
          <w:b/>
          <w:color w:val="000000"/>
          <w:sz w:val="20"/>
          <w:szCs w:val="20"/>
          <w:u w:val="single"/>
        </w:rPr>
      </w:pPr>
      <w:r>
        <w:rPr>
          <w:sz w:val="20"/>
        </w:rPr>
        <w:t>E</w:t>
      </w:r>
      <w:r>
        <w:rPr>
          <w:rFonts w:hint="eastAsia"/>
          <w:sz w:val="20"/>
          <w:lang w:val="en-US" w:eastAsia="zh-CN"/>
        </w:rPr>
        <w:t>MS</w:t>
      </w:r>
      <w:r>
        <w:rPr>
          <w:rFonts w:hint="eastAsia"/>
          <w:sz w:val="20"/>
          <w:lang w:eastAsia="zh-CN"/>
        </w:rPr>
        <w:t>:</w:t>
      </w:r>
      <w:r>
        <w:rPr>
          <w:sz w:val="20"/>
        </w:rPr>
        <w:t>木制品（木加工、木托盘、木包装箱、胶合板托盘、木方、木板）的生产所涉及场所的相关环境管理活动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before="156" w:beforeLines="50" w:after="62" w:afterLines="20" w:line="240" w:lineRule="auto"/>
        <w:ind w:firstLine="261" w:firstLineChars="100"/>
        <w:rPr>
          <w:rFonts w:hint="eastAsia" w:ascii="宋体" w:hAnsi="宋体" w:eastAsia="宋体" w:cs="Times New Roman"/>
          <w:b/>
          <w:bCs/>
          <w:color w:val="000000"/>
          <w:sz w:val="26"/>
          <w:szCs w:val="26"/>
        </w:rPr>
      </w:pPr>
      <w:r>
        <w:rPr>
          <w:rFonts w:hint="eastAsia" w:ascii="宋体" w:hAnsi="宋体" w:eastAsia="宋体" w:cs="Times New Roman"/>
          <w:b/>
          <w:bCs/>
          <w:color w:val="000000"/>
          <w:sz w:val="26"/>
          <w:szCs w:val="26"/>
        </w:rPr>
        <w:drawing>
          <wp:anchor distT="0" distB="0" distL="114300" distR="114300" simplePos="0" relativeHeight="251658240" behindDoc="0" locked="0" layoutInCell="1" allowOverlap="1">
            <wp:simplePos x="0" y="0"/>
            <wp:positionH relativeFrom="column">
              <wp:posOffset>1804670</wp:posOffset>
            </wp:positionH>
            <wp:positionV relativeFrom="paragraph">
              <wp:posOffset>8890</wp:posOffset>
            </wp:positionV>
            <wp:extent cx="459740" cy="325120"/>
            <wp:effectExtent l="0" t="0" r="16510" b="1778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6"/>
                    <a:stretch>
                      <a:fillRect/>
                    </a:stretch>
                  </pic:blipFill>
                  <pic:spPr>
                    <a:xfrm>
                      <a:off x="0" y="0"/>
                      <a:ext cx="459740" cy="325120"/>
                    </a:xfrm>
                    <a:prstGeom prst="rect">
                      <a:avLst/>
                    </a:prstGeom>
                  </pic:spPr>
                </pic:pic>
              </a:graphicData>
            </a:graphic>
          </wp:anchor>
        </w:drawing>
      </w:r>
      <w:r>
        <w:rPr>
          <w:rFonts w:hint="eastAsia" w:ascii="宋体" w:hAnsi="宋体" w:eastAsia="宋体" w:cs="Times New Roman"/>
          <w:b/>
          <w:bCs/>
          <w:color w:val="000000"/>
          <w:sz w:val="26"/>
          <w:szCs w:val="26"/>
        </w:rPr>
        <w:t xml:space="preserve">审核组组长(签名):    </w:t>
      </w:r>
    </w:p>
    <w:p>
      <w:pPr>
        <w:spacing w:before="156" w:beforeLines="50" w:after="62" w:afterLines="20" w:line="240" w:lineRule="auto"/>
        <w:ind w:firstLine="261" w:firstLineChars="100"/>
        <w:rPr>
          <w:rFonts w:hint="eastAsia" w:ascii="宋体" w:hAnsi="宋体" w:eastAsia="宋体" w:cs="Times New Roman"/>
          <w:b/>
          <w:bCs/>
          <w:color w:val="000000"/>
          <w:sz w:val="26"/>
          <w:szCs w:val="26"/>
          <w:lang w:eastAsia="zh-CN"/>
        </w:rPr>
      </w:pPr>
      <w:r>
        <w:rPr>
          <w:rFonts w:hint="eastAsia" w:ascii="宋体" w:hAnsi="宋体" w:eastAsia="宋体" w:cs="Times New Roman"/>
          <w:b/>
          <w:bCs/>
          <w:color w:val="000000"/>
          <w:sz w:val="26"/>
          <w:szCs w:val="26"/>
        </w:rPr>
        <w:t xml:space="preserve">审核组组员(签名):   </w:t>
      </w:r>
      <w:r>
        <w:rPr>
          <w:rFonts w:hint="eastAsia" w:ascii="宋体" w:hAnsi="宋体" w:eastAsia="宋体" w:cs="Times New Roman"/>
          <w:b/>
          <w:bCs/>
          <w:color w:val="000000"/>
          <w:sz w:val="26"/>
          <w:szCs w:val="26"/>
          <w:lang w:eastAsia="zh-CN"/>
        </w:rPr>
        <w:drawing>
          <wp:anchor distT="0" distB="0" distL="114300" distR="114300" simplePos="0" relativeHeight="251659264" behindDoc="0" locked="0" layoutInCell="1" allowOverlap="1">
            <wp:simplePos x="0" y="0"/>
            <wp:positionH relativeFrom="column">
              <wp:posOffset>1823085</wp:posOffset>
            </wp:positionH>
            <wp:positionV relativeFrom="paragraph">
              <wp:posOffset>75565</wp:posOffset>
            </wp:positionV>
            <wp:extent cx="772160" cy="319405"/>
            <wp:effectExtent l="0" t="0" r="0" b="3810"/>
            <wp:wrapSquare wrapText="bothSides"/>
            <wp:docPr id="3" name="图片 3" descr="张雪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张雪梅"/>
                    <pic:cNvPicPr>
                      <a:picLocks noChangeAspect="1"/>
                    </pic:cNvPicPr>
                  </pic:nvPicPr>
                  <pic:blipFill>
                    <a:blip r:embed="rId7"/>
                    <a:stretch>
                      <a:fillRect/>
                    </a:stretch>
                  </pic:blipFill>
                  <pic:spPr>
                    <a:xfrm>
                      <a:off x="0" y="0"/>
                      <a:ext cx="772160" cy="319405"/>
                    </a:xfrm>
                    <a:prstGeom prst="rect">
                      <a:avLst/>
                    </a:prstGeom>
                  </pic:spPr>
                </pic:pic>
              </a:graphicData>
            </a:graphic>
          </wp:anchor>
        </w:drawing>
      </w:r>
    </w:p>
    <w:p>
      <w:pPr>
        <w:spacing w:before="156" w:beforeLines="50" w:after="62" w:afterLines="20" w:line="360" w:lineRule="exact"/>
        <w:ind w:firstLine="261" w:firstLineChars="100"/>
        <w:rPr>
          <w:rFonts w:hint="eastAsia" w:ascii="宋体" w:hAnsi="宋体" w:eastAsia="宋体" w:cs="Times New Roman"/>
          <w:b/>
          <w:bCs/>
          <w:color w:val="000000"/>
          <w:sz w:val="26"/>
          <w:szCs w:val="26"/>
        </w:rPr>
      </w:pPr>
    </w:p>
    <w:p>
      <w:pPr>
        <w:wordWrap w:val="0"/>
        <w:spacing w:before="156" w:beforeLines="50" w:after="62" w:afterLines="20" w:line="360" w:lineRule="exact"/>
        <w:ind w:firstLine="261" w:firstLineChars="100"/>
        <w:jc w:val="right"/>
        <w:rPr>
          <w:rFonts w:hint="default" w:ascii="宋体" w:hAnsi="宋体" w:eastAsia="宋体" w:cs="Times New Roman"/>
          <w:b/>
          <w:bCs/>
          <w:color w:val="000000"/>
          <w:sz w:val="26"/>
          <w:szCs w:val="26"/>
          <w:lang w:val="en-US" w:eastAsia="zh-CN"/>
        </w:rPr>
      </w:pPr>
      <w:r>
        <w:rPr>
          <w:rFonts w:hint="eastAsia" w:ascii="宋体" w:hAnsi="宋体" w:eastAsia="宋体" w:cs="Times New Roman"/>
          <w:b/>
          <w:bCs/>
          <w:color w:val="000000"/>
          <w:sz w:val="26"/>
          <w:szCs w:val="26"/>
        </w:rPr>
        <w:t>日期:</w:t>
      </w:r>
      <w:r>
        <w:rPr>
          <w:rFonts w:hint="eastAsia" w:ascii="宋体" w:hAnsi="宋体" w:eastAsia="宋体" w:cs="Times New Roman"/>
          <w:b/>
          <w:bCs/>
          <w:color w:val="000000"/>
          <w:sz w:val="26"/>
          <w:szCs w:val="26"/>
          <w:lang w:val="en-US" w:eastAsia="zh-CN"/>
        </w:rPr>
        <w:t xml:space="preserve">  2021年01月12日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sz w:val="21"/>
          <w:szCs w:val="21"/>
        </w:rPr>
        <w:t>合江明浩木业有限公司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BA224B"/>
    <w:rsid w:val="02835418"/>
    <w:rsid w:val="067A5650"/>
    <w:rsid w:val="06D5164D"/>
    <w:rsid w:val="0B0C4312"/>
    <w:rsid w:val="0CA46FD8"/>
    <w:rsid w:val="0CFE1621"/>
    <w:rsid w:val="0FA705BF"/>
    <w:rsid w:val="17BC61C2"/>
    <w:rsid w:val="1AE21C6D"/>
    <w:rsid w:val="1C2D7F14"/>
    <w:rsid w:val="1FB937C4"/>
    <w:rsid w:val="20325706"/>
    <w:rsid w:val="2172678C"/>
    <w:rsid w:val="2F6F4224"/>
    <w:rsid w:val="306F509A"/>
    <w:rsid w:val="32593F97"/>
    <w:rsid w:val="32F47BE5"/>
    <w:rsid w:val="379F228D"/>
    <w:rsid w:val="380B3266"/>
    <w:rsid w:val="3DBE6889"/>
    <w:rsid w:val="3E4A14DA"/>
    <w:rsid w:val="42E20D34"/>
    <w:rsid w:val="452B7525"/>
    <w:rsid w:val="481A6AE4"/>
    <w:rsid w:val="49E14DEE"/>
    <w:rsid w:val="4ABE60B1"/>
    <w:rsid w:val="4BD678C9"/>
    <w:rsid w:val="4C7B233C"/>
    <w:rsid w:val="50FE3C8F"/>
    <w:rsid w:val="522B422F"/>
    <w:rsid w:val="52DF305E"/>
    <w:rsid w:val="561B243C"/>
    <w:rsid w:val="572C3195"/>
    <w:rsid w:val="5BA6249B"/>
    <w:rsid w:val="692A0F9F"/>
    <w:rsid w:val="710738A6"/>
    <w:rsid w:val="71DE7530"/>
    <w:rsid w:val="735106A0"/>
    <w:rsid w:val="73517619"/>
    <w:rsid w:val="73621A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2021-01-15T07:42:55Z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