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-1143635</wp:posOffset>
            </wp:positionV>
            <wp:extent cx="7499350" cy="10719435"/>
            <wp:effectExtent l="0" t="0" r="6350" b="12065"/>
            <wp:wrapNone/>
            <wp:docPr id="2" name="图片 2" descr="扫描全能王 2021-01-13 11.59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3 11.59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9350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0013-2021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71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071"/>
        <w:gridCol w:w="1195"/>
        <w:gridCol w:w="1275"/>
        <w:gridCol w:w="2040"/>
        <w:gridCol w:w="1092"/>
        <w:gridCol w:w="127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73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szCs w:val="21"/>
              </w:rPr>
              <w:t>陕西鑫联仪器仪表有限公司</w:t>
            </w:r>
            <w:bookmarkEnd w:id="1"/>
          </w:p>
        </w:tc>
        <w:tc>
          <w:tcPr>
            <w:tcW w:w="109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流量校验装置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170612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XLBDT-150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0.2%级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标准装置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二等标准金属量器±0.025%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绝缘电阻表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16020235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ZC11D-10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兆欧表检定装置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2020.9.21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1446552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25-50）mm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0416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0.02mm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五等量块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2020.9.23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指针式温湿度表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140391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WS-2000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℃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，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5%RH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0.15</w:t>
            </w:r>
            <w:r>
              <w:rPr>
                <w:rFonts w:hint="eastAsia" w:ascii="Calibri" w:hAnsi="Calibri" w:cs="Calibri"/>
                <w:sz w:val="28"/>
                <w:szCs w:val="28"/>
                <w:vertAlign w:val="superscript"/>
                <w:lang w:val="en-US" w:eastAsia="zh-CN"/>
              </w:rPr>
              <w:t>。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CDp</w:t>
            </w:r>
          </w:p>
          <w:p>
            <w:pPr>
              <w:jc w:val="center"/>
              <w:rPr>
                <w:rFonts w:hint="default" w:ascii="Calibri" w:hAnsi="Calibri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精密露点仪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2020.9.23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螺纹塞规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09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M18-6H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合格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 w:ascii="Calibri" w:hAnsi="Calibri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螺纹综合测量机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（2.5+L/200）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2020.9.27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66512343377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2040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西安硕隆计量检测有限公司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66512343366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2040" w:type="dxa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标准，测量设备全部送至陕西省计量科学研究院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和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西安硕隆计量检测有限公司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检定、</w:t>
            </w:r>
            <w:r>
              <w:rPr>
                <w:rFonts w:hint="eastAsia"/>
                <w:color w:val="000000" w:themeColor="text1"/>
                <w:szCs w:val="21"/>
              </w:rPr>
              <w:t>校准，抽查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日～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E74DB"/>
    <w:rsid w:val="374F0737"/>
    <w:rsid w:val="3BA16B7F"/>
    <w:rsid w:val="3C2247A5"/>
    <w:rsid w:val="482440E5"/>
    <w:rsid w:val="53531574"/>
    <w:rsid w:val="7E990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2021-01-13T14:02:03Z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