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2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受审核部门：供销部     主管领导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张晓妮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陪同人员：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吴知虎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审核时间：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2021.2.25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审核条款：5.3/6.2/8.2/8.4/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8.5.1/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8.5.3/8.5.5/9.1.2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职责和权限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部门主要职责如下： 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1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根据上级安排，落实公司方针目标、检查下属的执行情况，评定下级的工作业绩和能力。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2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制定公司销售、采购计划，并组织实施。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3组织市场调研，制订营销战略，协助进行广告宣传和促销活动。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4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组织合同评审，签订营销合同，督促产品交付和货款清收。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5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组织售后服务，处理顾客投诉、退货及合同纠纷。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6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组织顾客调查，收集顾客意见并及时进行处理，使顾客满意。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 组织对销售人员培训，配合业务员进行产品销售。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组织市场调研，制订采购计划，实施采购活动。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组织合同评审，签订采购合同，督促采购产品的交付和验收。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处理不合格品的退换及合同纠纷。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及时完成领导交给的其它工作任务。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质量目标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分解目标及考核情况   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实际完成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按月考核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采购产品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合格率100%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100%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2、顾客满意度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                                              96%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3、合同履约率100%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100%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查20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30日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质量目标考核表完成情况：均完成。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产品和服务的要求确定、评审和更改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供销部经常对顾客进行走访，了解顾客的意见。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售前：联系用户、了解相关信息等，与顾客签订合同或订单；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售中：组织供方按期交付，解决用户对进度、质量等关切问题；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售后：与客户保持密切沟通，不定期回访用户，并对顾客反馈问题解答。体系建立实施至今未发生顾客投诉。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供销部获取供应、销售信息，与客户洽谈，在签订合同前对客户要求进行评审，确认可以满足行业有关法律、法规要求和公司规定及客户要求时，签订合同，根据销售合同为客户提供服务。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查销售合同/订单/报价单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客户：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宝鸡法士特齿轮有限责任公司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时间：20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项目名称：加工：中间轴三档齿轮3000件、倒档二级是间齿轮2500件、一、二档滑套20000件、二轴二档齿轮110000件、同步器齿毂2000件等各种型号齿轮……。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-276860</wp:posOffset>
                  </wp:positionV>
                  <wp:extent cx="2009775" cy="2803525"/>
                  <wp:effectExtent l="0" t="0" r="3175" b="9525"/>
                  <wp:wrapNone/>
                  <wp:docPr id="1" name="图片 2" descr="709b34883b3d3e88a6cd7697e027e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709b34883b3d3e88a6cd7697e027ef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009775" cy="280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3425825</wp:posOffset>
                  </wp:positionH>
                  <wp:positionV relativeFrom="paragraph">
                    <wp:posOffset>-336550</wp:posOffset>
                  </wp:positionV>
                  <wp:extent cx="2003425" cy="2926715"/>
                  <wp:effectExtent l="0" t="0" r="6985" b="3175"/>
                  <wp:wrapNone/>
                  <wp:docPr id="2" name="图片 3" descr="ff139a053704ef8f355a5dad26741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ff139a053704ef8f355a5dad267411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003425" cy="292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合同金额：暂定4375万元，最终以实际加工数量结算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加工时间：2020年1月至2021年3月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评审：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合同主要要求：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质量按双方质量协议执行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合同内容√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技术水平√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材料保障√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预算结算√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总经理：同意√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吴知虎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日期：2019年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公司通过传真、邮件及电话等方式与顾客交流，主要进行以下沟通：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1、向顾客提供保证产品质量的有关信息，保修及应急措施。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2、接受顾客问询、询价、合同的处理。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3、根据合同要求进行有关的事宜，对顾客的投诉或意见进行处理和答复。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4、合理处理顾客财产，主要是顾客报修产品。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目前沟通渠道畅通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目前无合同更改情况发生。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外部提供过程、产品和服务过程管理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8.4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公司为法士特齿轮有限公司定点加工厂，原材料及毛坯由法士特提供，无需进行大宗材料的采购，只需采购为数不多的润滑油来维护机器设备的正常运转。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编制的《采购控制程序》中，确定了对外部供方实施的具体控制要求，旨在确保产品能够按计划提供，并符合要求，为确保外部提供的过程、产品不会对企业稳定地向顾客提供合格的产品的能力产生不利影响。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提供《合格供方名单》</w:t>
            </w:r>
            <w:bookmarkStart w:id="0" w:name="_GoBack"/>
            <w:bookmarkEnd w:id="0"/>
          </w:p>
          <w:tbl>
            <w:tblPr>
              <w:tblStyle w:val="2"/>
              <w:tblW w:w="1015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4"/>
              <w:gridCol w:w="1678"/>
              <w:gridCol w:w="1070"/>
              <w:gridCol w:w="520"/>
              <w:gridCol w:w="815"/>
              <w:gridCol w:w="878"/>
              <w:gridCol w:w="1311"/>
              <w:gridCol w:w="2456"/>
              <w:gridCol w:w="9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51" w:hRule="atLeast"/>
                <w:jc w:val="center"/>
              </w:trPr>
              <w:tc>
                <w:tcPr>
                  <w:tcW w:w="4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67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供方名称</w:t>
                  </w:r>
                </w:p>
              </w:tc>
              <w:tc>
                <w:tcPr>
                  <w:tcW w:w="107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产品名称</w:t>
                  </w:r>
                </w:p>
              </w:tc>
              <w:tc>
                <w:tcPr>
                  <w:tcW w:w="52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分级类别</w:t>
                  </w:r>
                </w:p>
              </w:tc>
              <w:tc>
                <w:tcPr>
                  <w:tcW w:w="81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评定表序号</w:t>
                  </w:r>
                </w:p>
              </w:tc>
              <w:tc>
                <w:tcPr>
                  <w:tcW w:w="87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联系人</w:t>
                  </w:r>
                </w:p>
              </w:tc>
              <w:tc>
                <w:tcPr>
                  <w:tcW w:w="131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电话/传真</w:t>
                  </w:r>
                </w:p>
              </w:tc>
              <w:tc>
                <w:tcPr>
                  <w:tcW w:w="245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地    址</w:t>
                  </w:r>
                </w:p>
              </w:tc>
              <w:tc>
                <w:tcPr>
                  <w:tcW w:w="99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年度评定结果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  <w:jc w:val="center"/>
              </w:trPr>
              <w:tc>
                <w:tcPr>
                  <w:tcW w:w="434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1678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安美科技股份有限公司</w:t>
                  </w:r>
                </w:p>
              </w:tc>
              <w:tc>
                <w:tcPr>
                  <w:tcW w:w="1070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润滑油</w:t>
                  </w:r>
                </w:p>
              </w:tc>
              <w:tc>
                <w:tcPr>
                  <w:tcW w:w="520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815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878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汪小龙</w:t>
                  </w:r>
                </w:p>
              </w:tc>
              <w:tc>
                <w:tcPr>
                  <w:tcW w:w="1311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15002497207</w:t>
                  </w:r>
                </w:p>
              </w:tc>
              <w:tc>
                <w:tcPr>
                  <w:tcW w:w="2456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东莞市松山湖科技产业园</w:t>
                  </w:r>
                </w:p>
              </w:tc>
              <w:tc>
                <w:tcPr>
                  <w:tcW w:w="991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合格</w:t>
                  </w:r>
                </w:p>
              </w:tc>
            </w:tr>
          </w:tbl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  <w:t>供销部未能提供润滑油供应商安美科技股份有限公司2020年度考核评价的证据。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抽物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2020年6月份物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资采购计划单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产品名称            型号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数量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润滑油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480公斤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。。。。。。。。。。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编制：供销部20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另抽其他材料采购计划单，均保存完好，符合要求。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原材料检验见8.6条款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顾客财产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公司的顾客或外部供方的财产主要是客户信息及客户提供的物料等，如有丢失、损坏或不适用的情况发生，应由使用部门及时记录在《顾客财产问题记录表》中，与顾客协商解决。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初审至今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尚无顾客财产问题记录。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交付后的活动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8.5.5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付后的活动：交付后的活动主要是售后服务，产品交付后，按照签订的合同条款实施售后服务，公司做出了售后服务承诺，明确有电话技术支持、投诉电话等内容。通过电话、网络等方式与客户交流沟通，了解顾客意见及建议。并将获得信息及时反馈到相关部门进行处理。自上次审核以来尚未发生软件测试服务导致的客户反馈及投诉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顾客满意度调查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9.1.2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企业对顾客对产品是否满意的信息进行监视，并编制《顾客满意情况调查表》。公司于20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6月、9月、12月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对主要客户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宝鸡法士特齿轮有限责任公司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进行了电话问卷调查，分别对产品质量、交货方面等内容进行调查，客户均对相关内容进行了反馈，从统计数据中可以看出，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发放调查表共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份，回收调查表共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份。顾客满意度平均分为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%，超过了质量目标要求，目标完成。从各分项看，说明我公司还有不完善的地方，如：价格等方面，我公司一定会在以后的工作中节约成本，尽量降低价格，使顾客更加满意。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合格</w:t>
            </w:r>
          </w:p>
        </w:tc>
      </w:tr>
    </w:tbl>
    <w:p>
      <w:pPr>
        <w:spacing w:line="480" w:lineRule="exact"/>
        <w:ind w:firstLine="5400" w:firstLineChars="1500"/>
        <w:jc w:val="both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both"/>
        <w:rPr>
          <w:rFonts w:ascii="隶书" w:hAnsi="宋体" w:eastAsia="隶书"/>
          <w:bCs/>
          <w:color w:val="000000"/>
          <w:sz w:val="36"/>
          <w:szCs w:val="36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52A59"/>
    <w:rsid w:val="4B45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2021-02-27T16:00:00Z</dcterms:created>
  <dc:creator>LIL</dc:creator>
  <cp:lastModifiedBy>LIL</cp:lastModifiedBy>
  <dcterms:modified xsi:type="dcterms:W3CDTF">2021-02-27T16:06:02Z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