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石家庄市博雅家具有限公司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O：GB/T 28001-2011idtOHSAS 18001:2007,Q：GB/T 19001-2016idtISO 9001:2015,E：GB/T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0476-2019-QEO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O:一阶段现场,Q:一阶段现场,E:一阶段现场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2017-N1OHSMS-2014142</w:t>
            </w:r>
          </w:p>
          <w:p w:rsidR="009F508A">
            <w:pPr>
              <w:snapToGrid w:val="0"/>
              <w:spacing w:line="320" w:lineRule="exact"/>
              <w:ind w:left="1309"/>
              <w:rPr>
                <w:sz w:val="22"/>
                <w:szCs w:val="22"/>
                <w:highlight w:val="yellow"/>
              </w:rPr>
            </w:pPr>
            <w:r>
              <w:rPr>
                <w:sz w:val="22"/>
                <w:szCs w:val="22"/>
                <w:highlight w:val="yellow"/>
              </w:rPr>
              <w:t>2018-N1QMS-3014142</w:t>
            </w:r>
          </w:p>
          <w:p w:rsidR="009F508A">
            <w:pPr>
              <w:snapToGrid w:val="0"/>
              <w:spacing w:line="320" w:lineRule="exact"/>
              <w:ind w:left="1309"/>
              <w:rPr>
                <w:sz w:val="22"/>
                <w:szCs w:val="22"/>
                <w:highlight w:val="yellow"/>
              </w:rPr>
            </w:pPr>
            <w:r>
              <w:rPr>
                <w:sz w:val="22"/>
                <w:szCs w:val="22"/>
                <w:highlight w:val="yellow"/>
              </w:rPr>
              <w:t>2017-N1EMS-2014142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范玉泉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2018-N1OHSMS-2023874</w:t>
            </w:r>
          </w:p>
          <w:p w:rsidR="009F508A">
            <w:pPr>
              <w:snapToGrid w:val="0"/>
              <w:spacing w:line="320" w:lineRule="exact"/>
              <w:ind w:left="1309"/>
              <w:rPr>
                <w:sz w:val="22"/>
                <w:szCs w:val="22"/>
                <w:highlight w:val="yellow"/>
              </w:rPr>
            </w:pPr>
            <w:r>
              <w:rPr>
                <w:sz w:val="22"/>
                <w:szCs w:val="22"/>
                <w:highlight w:val="yellow"/>
              </w:rPr>
              <w:t>2018-N1QMS-5023874</w:t>
            </w:r>
          </w:p>
          <w:p w:rsidR="009F508A">
            <w:pPr>
              <w:snapToGrid w:val="0"/>
              <w:spacing w:line="320" w:lineRule="exact"/>
              <w:ind w:left="1309"/>
              <w:rPr>
                <w:sz w:val="22"/>
                <w:szCs w:val="22"/>
                <w:highlight w:val="yellow"/>
              </w:rPr>
            </w:pPr>
            <w:r>
              <w:rPr>
                <w:sz w:val="22"/>
                <w:szCs w:val="22"/>
                <w:highlight w:val="yellow"/>
              </w:rPr>
              <w:t>2017-N1EMS-3023874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